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仿宋_GB2312" w:cs="仿宋_GB2312"/>
          <w:b/>
          <w:color w:val="000000"/>
          <w:sz w:val="44"/>
          <w:szCs w:val="44"/>
          <w:vertAlign w:val="subscript"/>
        </w:rPr>
      </w:pPr>
      <w:r>
        <w:rPr>
          <w:rFonts w:hint="eastAsia" w:ascii="Times New Roman" w:hAnsi="Times New Roman" w:eastAsia="仿宋_GB2312" w:cs="仿宋_GB2312"/>
          <w:b/>
          <w:color w:val="000000"/>
          <w:sz w:val="44"/>
          <w:szCs w:val="44"/>
          <w:vertAlign w:val="subscript"/>
        </w:rPr>
        <w:t xml:space="preserve"> </w:t>
      </w:r>
    </w:p>
    <w:p>
      <w:pPr>
        <w:spacing w:line="560" w:lineRule="exact"/>
        <w:jc w:val="center"/>
        <w:rPr>
          <w:rFonts w:ascii="Times New Roman" w:hAnsi="Times New Roman" w:eastAsia="仿宋_GB2312" w:cs="仿宋_GB2312"/>
          <w:b/>
          <w:color w:val="000000"/>
          <w:sz w:val="44"/>
          <w:szCs w:val="44"/>
        </w:rPr>
      </w:pPr>
    </w:p>
    <w:p>
      <w:pPr>
        <w:spacing w:line="640" w:lineRule="exact"/>
        <w:jc w:val="center"/>
        <w:rPr>
          <w:rFonts w:ascii="Times New Roman" w:hAnsi="Times New Roman" w:eastAsia="方正小标宋简体" w:cs="仿宋_GB2312"/>
          <w:bCs/>
          <w:color w:val="000000"/>
          <w:sz w:val="44"/>
          <w:szCs w:val="44"/>
        </w:rPr>
      </w:pPr>
      <w:r>
        <w:rPr>
          <w:rFonts w:hint="eastAsia" w:ascii="Times New Roman" w:hAnsi="Times New Roman" w:eastAsia="方正小标宋简体" w:cs="仿宋_GB2312"/>
          <w:bCs/>
          <w:color w:val="000000"/>
          <w:sz w:val="44"/>
          <w:szCs w:val="44"/>
        </w:rPr>
        <w:t>浙江省武义县地质灾害防治</w:t>
      </w:r>
    </w:p>
    <w:p>
      <w:pPr>
        <w:spacing w:line="640" w:lineRule="exact"/>
        <w:jc w:val="center"/>
        <w:rPr>
          <w:rFonts w:hint="eastAsia" w:ascii="Times New Roman" w:hAnsi="Times New Roman" w:eastAsia="方正小标宋简体" w:cs="仿宋_GB2312"/>
          <w:bCs/>
          <w:color w:val="000000"/>
          <w:sz w:val="44"/>
          <w:szCs w:val="44"/>
          <w:lang w:eastAsia="zh-CN"/>
        </w:rPr>
      </w:pPr>
      <w:r>
        <w:rPr>
          <w:rFonts w:hint="eastAsia" w:ascii="Times New Roman" w:hAnsi="Times New Roman" w:eastAsia="方正小标宋简体" w:cs="仿宋_GB2312"/>
          <w:bCs/>
          <w:color w:val="000000"/>
          <w:sz w:val="44"/>
          <w:szCs w:val="44"/>
        </w:rPr>
        <w:t>“十四五”规划</w:t>
      </w:r>
      <w:r>
        <w:rPr>
          <w:rFonts w:hint="eastAsia" w:ascii="Times New Roman" w:hAnsi="Times New Roman" w:eastAsia="方正小标宋简体" w:cs="仿宋_GB2312"/>
          <w:bCs/>
          <w:color w:val="000000"/>
          <w:sz w:val="44"/>
          <w:szCs w:val="44"/>
          <w:lang w:eastAsia="zh-CN"/>
        </w:rPr>
        <w:t>（</w:t>
      </w:r>
      <w:r>
        <w:rPr>
          <w:rFonts w:hint="eastAsia" w:ascii="Times New Roman" w:hAnsi="Times New Roman" w:eastAsia="方正小标宋简体" w:cs="仿宋_GB2312"/>
          <w:bCs/>
          <w:color w:val="000000"/>
          <w:sz w:val="44"/>
          <w:szCs w:val="44"/>
          <w:lang w:val="en-US" w:eastAsia="zh-CN"/>
        </w:rPr>
        <w:t>修编</w:t>
      </w:r>
      <w:r>
        <w:rPr>
          <w:rFonts w:hint="eastAsia" w:ascii="Times New Roman" w:hAnsi="Times New Roman" w:eastAsia="方正小标宋简体" w:cs="仿宋_GB2312"/>
          <w:bCs/>
          <w:color w:val="000000"/>
          <w:sz w:val="44"/>
          <w:szCs w:val="44"/>
          <w:lang w:eastAsia="zh-CN"/>
        </w:rPr>
        <w:t>）</w:t>
      </w:r>
    </w:p>
    <w:p>
      <w:pPr>
        <w:spacing w:line="640" w:lineRule="exact"/>
        <w:jc w:val="center"/>
        <w:rPr>
          <w:rFonts w:ascii="Times New Roman" w:hAnsi="Times New Roman" w:eastAsia="方正小标宋简体" w:cs="仿宋_GB2312"/>
          <w:bCs/>
          <w:color w:val="000000"/>
          <w:sz w:val="44"/>
          <w:szCs w:val="44"/>
        </w:rPr>
      </w:pPr>
    </w:p>
    <w:p>
      <w:pPr>
        <w:spacing w:line="560" w:lineRule="exact"/>
        <w:jc w:val="center"/>
        <w:rPr>
          <w:rFonts w:ascii="Times New Roman" w:hAnsi="Times New Roman" w:eastAsia="仿宋_GB2312" w:cs="仿宋_GB2312"/>
          <w:bCs/>
          <w:color w:val="000000"/>
          <w:sz w:val="52"/>
        </w:rPr>
      </w:pPr>
    </w:p>
    <w:p>
      <w:pPr>
        <w:spacing w:line="560" w:lineRule="exact"/>
        <w:jc w:val="center"/>
        <w:rPr>
          <w:rFonts w:ascii="Times New Roman" w:hAnsi="Times New Roman" w:eastAsia="仿宋_GB2312" w:cs="仿宋_GB2312"/>
          <w:bCs/>
          <w:color w:val="000000"/>
          <w:sz w:val="52"/>
        </w:rPr>
      </w:pPr>
    </w:p>
    <w:p>
      <w:pPr>
        <w:spacing w:line="560" w:lineRule="exact"/>
        <w:jc w:val="center"/>
        <w:rPr>
          <w:rFonts w:ascii="Times New Roman" w:hAnsi="Times New Roman" w:eastAsia="仿宋_GB2312" w:cs="仿宋_GB2312"/>
          <w:bCs/>
          <w:color w:val="000000"/>
          <w:sz w:val="52"/>
        </w:rPr>
      </w:pPr>
    </w:p>
    <w:p>
      <w:pPr>
        <w:spacing w:line="560" w:lineRule="exact"/>
        <w:jc w:val="center"/>
        <w:rPr>
          <w:rFonts w:ascii="Times New Roman" w:hAnsi="Times New Roman" w:eastAsia="仿宋_GB2312" w:cs="仿宋_GB2312"/>
          <w:bCs/>
          <w:color w:val="000000"/>
          <w:sz w:val="52"/>
        </w:rPr>
      </w:pPr>
    </w:p>
    <w:p>
      <w:pPr>
        <w:spacing w:line="560" w:lineRule="exact"/>
        <w:jc w:val="center"/>
        <w:rPr>
          <w:rFonts w:ascii="Times New Roman" w:hAnsi="Times New Roman" w:eastAsia="仿宋_GB2312" w:cs="仿宋_GB2312"/>
          <w:bCs/>
          <w:color w:val="000000"/>
          <w:sz w:val="52"/>
        </w:rPr>
      </w:pPr>
    </w:p>
    <w:p>
      <w:pPr>
        <w:spacing w:line="560" w:lineRule="exact"/>
        <w:jc w:val="center"/>
        <w:rPr>
          <w:rFonts w:ascii="Times New Roman" w:hAnsi="Times New Roman" w:eastAsia="仿宋_GB2312" w:cs="仿宋_GB2312"/>
          <w:bCs/>
          <w:color w:val="000000"/>
          <w:sz w:val="52"/>
        </w:rPr>
      </w:pPr>
    </w:p>
    <w:p>
      <w:pPr>
        <w:spacing w:line="560" w:lineRule="exact"/>
        <w:jc w:val="center"/>
        <w:rPr>
          <w:rFonts w:ascii="Times New Roman" w:hAnsi="Times New Roman" w:eastAsia="仿宋_GB2312" w:cs="仿宋_GB2312"/>
          <w:bCs/>
          <w:color w:val="000000"/>
          <w:sz w:val="52"/>
        </w:rPr>
      </w:pPr>
    </w:p>
    <w:p>
      <w:pPr>
        <w:spacing w:line="560" w:lineRule="exact"/>
        <w:jc w:val="center"/>
        <w:rPr>
          <w:rFonts w:ascii="Times New Roman" w:hAnsi="Times New Roman" w:eastAsia="仿宋_GB2312" w:cs="仿宋_GB2312"/>
          <w:bCs/>
          <w:color w:val="000000"/>
          <w:sz w:val="52"/>
        </w:rPr>
      </w:pPr>
    </w:p>
    <w:p>
      <w:pPr>
        <w:spacing w:line="560" w:lineRule="exact"/>
        <w:jc w:val="center"/>
        <w:rPr>
          <w:rFonts w:ascii="Times New Roman" w:hAnsi="Times New Roman" w:eastAsia="仿宋_GB2312" w:cs="仿宋_GB2312"/>
          <w:bCs/>
          <w:color w:val="000000"/>
          <w:sz w:val="52"/>
        </w:rPr>
      </w:pPr>
    </w:p>
    <w:p>
      <w:pPr>
        <w:spacing w:line="560" w:lineRule="exact"/>
        <w:jc w:val="center"/>
        <w:rPr>
          <w:rFonts w:ascii="Times New Roman" w:hAnsi="Times New Roman" w:eastAsia="仿宋_GB2312" w:cs="仿宋_GB2312"/>
          <w:bCs/>
          <w:color w:val="000000"/>
          <w:sz w:val="52"/>
        </w:rPr>
      </w:pPr>
    </w:p>
    <w:p>
      <w:pPr>
        <w:spacing w:line="560" w:lineRule="exact"/>
        <w:jc w:val="center"/>
        <w:rPr>
          <w:rFonts w:ascii="Times New Roman" w:hAnsi="Times New Roman" w:eastAsia="仿宋_GB2312" w:cs="仿宋_GB2312"/>
          <w:bCs/>
          <w:color w:val="000000"/>
          <w:sz w:val="52"/>
        </w:rPr>
      </w:pPr>
    </w:p>
    <w:p>
      <w:pPr>
        <w:spacing w:line="560" w:lineRule="exact"/>
        <w:jc w:val="center"/>
        <w:rPr>
          <w:rFonts w:ascii="Times New Roman" w:hAnsi="Times New Roman" w:eastAsia="仿宋_GB2312" w:cs="仿宋_GB2312"/>
          <w:bCs/>
          <w:color w:val="000000"/>
          <w:sz w:val="52"/>
        </w:rPr>
      </w:pPr>
    </w:p>
    <w:p>
      <w:pPr>
        <w:jc w:val="center"/>
        <w:rPr>
          <w:rFonts w:ascii="Times New Roman" w:hAnsi="Times New Roman" w:eastAsia="方正小标宋简体" w:cs="仿宋_GB2312"/>
          <w:bCs/>
          <w:sz w:val="32"/>
          <w:szCs w:val="32"/>
        </w:rPr>
      </w:pPr>
      <w:r>
        <w:rPr>
          <w:rFonts w:hint="eastAsia" w:ascii="Times New Roman" w:hAnsi="Times New Roman" w:eastAsia="方正小标宋简体" w:cs="仿宋_GB2312"/>
          <w:bCs/>
          <w:sz w:val="32"/>
          <w:szCs w:val="32"/>
        </w:rPr>
        <w:t>武义县发展和改革局</w:t>
      </w:r>
    </w:p>
    <w:p>
      <w:pPr>
        <w:jc w:val="center"/>
        <w:rPr>
          <w:rFonts w:ascii="Times New Roman" w:hAnsi="Times New Roman" w:eastAsia="方正小标宋简体" w:cs="仿宋_GB2312"/>
          <w:bCs/>
          <w:sz w:val="32"/>
          <w:szCs w:val="32"/>
        </w:rPr>
      </w:pPr>
      <w:r>
        <w:rPr>
          <w:rFonts w:hint="eastAsia" w:ascii="Times New Roman" w:hAnsi="Times New Roman" w:eastAsia="方正小标宋简体" w:cs="仿宋_GB2312"/>
          <w:bCs/>
          <w:sz w:val="32"/>
          <w:szCs w:val="32"/>
        </w:rPr>
        <w:t>武义县自然资源和规划局</w:t>
      </w:r>
    </w:p>
    <w:p>
      <w:pPr>
        <w:jc w:val="center"/>
        <w:rPr>
          <w:rFonts w:ascii="Times New Roman" w:hAnsi="Times New Roman" w:eastAsia="方正小标宋简体" w:cs="仿宋_GB2312"/>
          <w:bCs/>
          <w:sz w:val="32"/>
          <w:szCs w:val="32"/>
        </w:rPr>
      </w:pPr>
      <w:r>
        <w:rPr>
          <w:rFonts w:hint="eastAsia" w:ascii="Times New Roman" w:hAnsi="Times New Roman" w:eastAsia="方正小标宋简体" w:cs="仿宋_GB2312"/>
          <w:bCs/>
          <w:sz w:val="32"/>
          <w:szCs w:val="32"/>
        </w:rPr>
        <w:t>二○二</w:t>
      </w:r>
      <w:r>
        <w:rPr>
          <w:rFonts w:hint="eastAsia" w:ascii="Times New Roman" w:hAnsi="Times New Roman" w:eastAsia="方正小标宋简体" w:cs="仿宋_GB2312"/>
          <w:bCs/>
          <w:sz w:val="32"/>
          <w:szCs w:val="32"/>
          <w:lang w:val="en-US" w:eastAsia="zh-CN"/>
        </w:rPr>
        <w:t>二</w:t>
      </w:r>
      <w:r>
        <w:rPr>
          <w:rFonts w:hint="eastAsia" w:ascii="Times New Roman" w:hAnsi="Times New Roman" w:eastAsia="方正小标宋简体" w:cs="仿宋_GB2312"/>
          <w:bCs/>
          <w:sz w:val="32"/>
          <w:szCs w:val="32"/>
        </w:rPr>
        <w:t>年十</w:t>
      </w:r>
      <w:r>
        <w:rPr>
          <w:rFonts w:hint="eastAsia" w:ascii="Times New Roman" w:hAnsi="Times New Roman" w:eastAsia="方正小标宋简体" w:cs="仿宋_GB2312"/>
          <w:bCs/>
          <w:sz w:val="32"/>
          <w:szCs w:val="32"/>
          <w:lang w:val="en-US" w:eastAsia="zh-CN"/>
        </w:rPr>
        <w:t>二</w:t>
      </w:r>
      <w:r>
        <w:rPr>
          <w:rFonts w:hint="eastAsia" w:ascii="Times New Roman" w:hAnsi="Times New Roman" w:eastAsia="方正小标宋简体" w:cs="仿宋_GB2312"/>
          <w:bCs/>
          <w:sz w:val="32"/>
          <w:szCs w:val="32"/>
        </w:rPr>
        <w:t>月</w:t>
      </w:r>
    </w:p>
    <w:p>
      <w:pPr>
        <w:rPr>
          <w:rFonts w:ascii="Times New Roman" w:hAnsi="Times New Roman" w:eastAsia="仿宋_GB2312" w:cs="仿宋_GB2312"/>
        </w:rPr>
      </w:pPr>
    </w:p>
    <w:p>
      <w:pPr>
        <w:rPr>
          <w:rFonts w:ascii="Times New Roman" w:hAnsi="Times New Roman" w:eastAsia="仿宋_GB2312" w:cs="仿宋_GB2312"/>
        </w:rPr>
      </w:pPr>
    </w:p>
    <w:p>
      <w:pPr>
        <w:rPr>
          <w:rFonts w:ascii="Times New Roman" w:hAnsi="Times New Roman" w:eastAsia="仿宋_GB2312" w:cs="仿宋_GB2312"/>
        </w:rPr>
      </w:pPr>
    </w:p>
    <w:p>
      <w:pPr>
        <w:widowControl/>
        <w:jc w:val="left"/>
        <w:rPr>
          <w:rFonts w:ascii="Times New Roman" w:hAnsi="Times New Roman" w:eastAsia="仿宋" w:cs="仿宋_GB2312"/>
          <w:color w:val="FF0000"/>
          <w:kern w:val="0"/>
          <w:sz w:val="28"/>
          <w:szCs w:val="28"/>
        </w:rPr>
      </w:pPr>
    </w:p>
    <w:p>
      <w:pPr>
        <w:widowControl/>
        <w:jc w:val="left"/>
        <w:rPr>
          <w:rFonts w:ascii="Times New Roman" w:hAnsi="Times New Roman" w:eastAsia="仿宋" w:cs="仿宋_GB2312"/>
          <w:color w:val="FF0000"/>
          <w:kern w:val="0"/>
          <w:sz w:val="28"/>
          <w:szCs w:val="28"/>
        </w:rPr>
      </w:pPr>
      <w:r>
        <w:rPr>
          <w:rFonts w:ascii="Times New Roman" w:hAnsi="Times New Roman" w:eastAsia="仿宋" w:cs="仿宋_GB2312"/>
          <w:color w:val="FF0000"/>
          <w:kern w:val="0"/>
          <w:sz w:val="28"/>
          <w:szCs w:val="28"/>
        </w:rPr>
        <w:br w:type="page"/>
      </w:r>
    </w:p>
    <w:sdt>
      <w:sdtPr>
        <w:rPr>
          <w:rFonts w:hint="eastAsia" w:ascii="Times New Roman" w:hAnsi="Times New Roman" w:eastAsia="仿宋" w:cs="仿宋_GB2312"/>
          <w:b/>
          <w:bCs/>
          <w:kern w:val="0"/>
          <w:sz w:val="30"/>
          <w:szCs w:val="30"/>
        </w:rPr>
        <w:id w:val="556692213"/>
        <w:docPartObj>
          <w:docPartGallery w:val="Table of Contents"/>
          <w:docPartUnique/>
        </w:docPartObj>
      </w:sdtPr>
      <w:sdtEndPr>
        <w:rPr>
          <w:rFonts w:hint="default" w:ascii="Times New Roman" w:hAnsi="Times New Roman" w:eastAsia="仿宋" w:cs="Times New Roman"/>
          <w:b/>
          <w:bCs/>
          <w:kern w:val="0"/>
          <w:sz w:val="24"/>
          <w:szCs w:val="24"/>
        </w:rPr>
      </w:sdtEndPr>
      <w:sdtContent>
        <w:p>
          <w:pPr>
            <w:jc w:val="center"/>
            <w:rPr>
              <w:rFonts w:ascii="Times New Roman" w:hAnsi="Times New Roman" w:eastAsia="黑体"/>
              <w:b/>
              <w:bCs/>
              <w:sz w:val="36"/>
              <w:szCs w:val="36"/>
            </w:rPr>
          </w:pPr>
          <w:r>
            <w:rPr>
              <w:rFonts w:ascii="Times New Roman" w:hAnsi="Times New Roman" w:eastAsia="黑体"/>
              <w:b/>
              <w:bCs/>
              <w:sz w:val="36"/>
              <w:szCs w:val="36"/>
            </w:rPr>
            <w:t>目  录</w:t>
          </w:r>
        </w:p>
        <w:p>
          <w:pPr>
            <w:pStyle w:val="10"/>
            <w:tabs>
              <w:tab w:val="right" w:leader="dot" w:pos="8296"/>
            </w:tabs>
            <w:spacing w:after="0" w:line="540" w:lineRule="exact"/>
            <w:rPr>
              <w:rFonts w:ascii="Times New Roman" w:hAnsi="Times New Roman"/>
              <w:kern w:val="2"/>
              <w:sz w:val="21"/>
            </w:rPr>
          </w:pPr>
          <w:r>
            <w:rPr>
              <w:rFonts w:ascii="Times New Roman" w:hAnsi="Times New Roman" w:eastAsia="仿宋"/>
              <w:b/>
              <w:bCs/>
              <w:sz w:val="24"/>
              <w:szCs w:val="24"/>
            </w:rPr>
            <w:fldChar w:fldCharType="begin"/>
          </w:r>
          <w:r>
            <w:rPr>
              <w:rFonts w:ascii="Times New Roman" w:hAnsi="Times New Roman" w:eastAsia="仿宋"/>
              <w:b/>
              <w:bCs/>
              <w:sz w:val="24"/>
              <w:szCs w:val="24"/>
            </w:rPr>
            <w:instrText xml:space="preserve">TOC \o "1-3" \h \u </w:instrText>
          </w:r>
          <w:r>
            <w:rPr>
              <w:rFonts w:ascii="Times New Roman" w:hAnsi="Times New Roman" w:eastAsia="仿宋"/>
              <w:b/>
              <w:bCs/>
              <w:sz w:val="24"/>
              <w:szCs w:val="24"/>
            </w:rPr>
            <w:fldChar w:fldCharType="separate"/>
          </w:r>
          <w:r>
            <w:fldChar w:fldCharType="begin"/>
          </w:r>
          <w:r>
            <w:instrText xml:space="preserve"> HYPERLINK \l "_Toc74663414" </w:instrText>
          </w:r>
          <w:r>
            <w:fldChar w:fldCharType="separate"/>
          </w:r>
          <w:r>
            <w:rPr>
              <w:rStyle w:val="18"/>
              <w:rFonts w:hint="eastAsia" w:ascii="Times New Roman" w:hAnsi="Times New Roman" w:eastAsia="黑体"/>
              <w:sz w:val="28"/>
              <w:szCs w:val="28"/>
            </w:rPr>
            <w:t>一、总</w:t>
          </w:r>
          <w:r>
            <w:rPr>
              <w:rStyle w:val="18"/>
              <w:rFonts w:ascii="Times New Roman" w:hAnsi="Times New Roman" w:eastAsia="黑体"/>
              <w:sz w:val="28"/>
              <w:szCs w:val="28"/>
            </w:rPr>
            <w:t xml:space="preserve"> </w:t>
          </w:r>
          <w:r>
            <w:rPr>
              <w:rStyle w:val="18"/>
              <w:rFonts w:hint="eastAsia" w:ascii="Times New Roman" w:hAnsi="Times New Roman" w:eastAsia="黑体"/>
              <w:sz w:val="28"/>
              <w:szCs w:val="28"/>
            </w:rPr>
            <w:t>则</w:t>
          </w:r>
          <w:r>
            <w:rPr>
              <w:rFonts w:ascii="Times New Roman" w:hAnsi="Times New Roman"/>
            </w:rPr>
            <w:tab/>
          </w:r>
          <w:r>
            <w:rPr>
              <w:rStyle w:val="18"/>
              <w:rFonts w:ascii="Times New Roman" w:hAnsi="Times New Roman" w:eastAsia="黑体"/>
              <w:sz w:val="28"/>
              <w:szCs w:val="28"/>
            </w:rPr>
            <w:fldChar w:fldCharType="begin"/>
          </w:r>
          <w:r>
            <w:rPr>
              <w:rStyle w:val="18"/>
              <w:rFonts w:ascii="Times New Roman" w:hAnsi="Times New Roman" w:eastAsia="黑体"/>
              <w:sz w:val="28"/>
              <w:szCs w:val="28"/>
            </w:rPr>
            <w:instrText xml:space="preserve"> PAGEREF _Toc74663414 \h </w:instrText>
          </w:r>
          <w:r>
            <w:rPr>
              <w:rStyle w:val="18"/>
              <w:rFonts w:ascii="Times New Roman" w:hAnsi="Times New Roman" w:eastAsia="黑体"/>
              <w:sz w:val="28"/>
              <w:szCs w:val="28"/>
            </w:rPr>
            <w:fldChar w:fldCharType="separate"/>
          </w:r>
          <w:r>
            <w:rPr>
              <w:rStyle w:val="18"/>
              <w:rFonts w:ascii="Times New Roman" w:hAnsi="Times New Roman" w:eastAsia="黑体"/>
              <w:sz w:val="28"/>
              <w:szCs w:val="28"/>
            </w:rPr>
            <w:t>1</w:t>
          </w:r>
          <w:r>
            <w:rPr>
              <w:rStyle w:val="18"/>
              <w:rFonts w:ascii="Times New Roman" w:hAnsi="Times New Roman" w:eastAsia="黑体"/>
              <w:sz w:val="28"/>
              <w:szCs w:val="28"/>
            </w:rPr>
            <w:fldChar w:fldCharType="end"/>
          </w:r>
          <w:r>
            <w:rPr>
              <w:rStyle w:val="18"/>
              <w:rFonts w:ascii="Times New Roman" w:hAnsi="Times New Roman" w:eastAsia="黑体"/>
              <w:sz w:val="28"/>
              <w:szCs w:val="28"/>
            </w:rPr>
            <w:fldChar w:fldCharType="end"/>
          </w:r>
        </w:p>
        <w:p>
          <w:pPr>
            <w:pStyle w:val="10"/>
            <w:tabs>
              <w:tab w:val="right" w:leader="dot" w:pos="8296"/>
            </w:tabs>
            <w:spacing w:after="0" w:line="540" w:lineRule="exact"/>
            <w:rPr>
              <w:rStyle w:val="18"/>
              <w:rFonts w:ascii="Times New Roman" w:hAnsi="Times New Roman" w:eastAsia="黑体"/>
              <w:sz w:val="28"/>
              <w:szCs w:val="28"/>
            </w:rPr>
          </w:pPr>
          <w:r>
            <w:fldChar w:fldCharType="begin"/>
          </w:r>
          <w:r>
            <w:instrText xml:space="preserve"> HYPERLINK \l "_Toc74663415" </w:instrText>
          </w:r>
          <w:r>
            <w:fldChar w:fldCharType="separate"/>
          </w:r>
          <w:r>
            <w:rPr>
              <w:rStyle w:val="18"/>
              <w:rFonts w:hint="eastAsia" w:ascii="Times New Roman" w:hAnsi="Times New Roman" w:eastAsia="黑体"/>
              <w:sz w:val="28"/>
              <w:szCs w:val="28"/>
            </w:rPr>
            <w:t>二、现状与形势</w:t>
          </w:r>
          <w:r>
            <w:rPr>
              <w:rStyle w:val="18"/>
              <w:rFonts w:ascii="Times New Roman" w:hAnsi="Times New Roman" w:eastAsia="黑体"/>
              <w:sz w:val="28"/>
              <w:szCs w:val="28"/>
            </w:rPr>
            <w:tab/>
          </w:r>
          <w:r>
            <w:rPr>
              <w:rStyle w:val="18"/>
              <w:rFonts w:ascii="Times New Roman" w:hAnsi="Times New Roman" w:eastAsia="黑体"/>
              <w:sz w:val="28"/>
              <w:szCs w:val="28"/>
            </w:rPr>
            <w:fldChar w:fldCharType="begin"/>
          </w:r>
          <w:r>
            <w:rPr>
              <w:rStyle w:val="18"/>
              <w:rFonts w:ascii="Times New Roman" w:hAnsi="Times New Roman" w:eastAsia="黑体"/>
              <w:sz w:val="28"/>
              <w:szCs w:val="28"/>
            </w:rPr>
            <w:instrText xml:space="preserve"> PAGEREF _Toc74663415 \h </w:instrText>
          </w:r>
          <w:r>
            <w:rPr>
              <w:rStyle w:val="18"/>
              <w:rFonts w:ascii="Times New Roman" w:hAnsi="Times New Roman" w:eastAsia="黑体"/>
              <w:sz w:val="28"/>
              <w:szCs w:val="28"/>
            </w:rPr>
            <w:fldChar w:fldCharType="separate"/>
          </w:r>
          <w:r>
            <w:rPr>
              <w:rStyle w:val="18"/>
              <w:rFonts w:ascii="Times New Roman" w:hAnsi="Times New Roman" w:eastAsia="黑体"/>
              <w:sz w:val="28"/>
              <w:szCs w:val="28"/>
            </w:rPr>
            <w:t>2</w:t>
          </w:r>
          <w:r>
            <w:rPr>
              <w:rStyle w:val="18"/>
              <w:rFonts w:ascii="Times New Roman" w:hAnsi="Times New Roman" w:eastAsia="黑体"/>
              <w:sz w:val="28"/>
              <w:szCs w:val="28"/>
            </w:rPr>
            <w:fldChar w:fldCharType="end"/>
          </w:r>
          <w:r>
            <w:rPr>
              <w:rStyle w:val="18"/>
              <w:rFonts w:ascii="Times New Roman" w:hAnsi="Times New Roman" w:eastAsia="黑体"/>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sz w:val="28"/>
              <w:szCs w:val="28"/>
            </w:rPr>
          </w:pPr>
          <w:r>
            <w:fldChar w:fldCharType="begin"/>
          </w:r>
          <w:r>
            <w:instrText xml:space="preserve"> HYPERLINK \l "_Toc74663416" </w:instrText>
          </w:r>
          <w:r>
            <w:fldChar w:fldCharType="separate"/>
          </w:r>
          <w:r>
            <w:rPr>
              <w:rStyle w:val="18"/>
              <w:rFonts w:hint="eastAsia" w:ascii="Times New Roman" w:hAnsi="Times New Roman" w:eastAsia="楷体_GB2312"/>
              <w:color w:val="auto"/>
              <w:kern w:val="2"/>
              <w:sz w:val="28"/>
              <w:szCs w:val="28"/>
            </w:rPr>
            <w:t>（一）经济社会发展概况</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_Toc74663416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2</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"_Toc74663417" </w:instrText>
          </w:r>
          <w:r>
            <w:fldChar w:fldCharType="separate"/>
          </w:r>
          <w:r>
            <w:rPr>
              <w:rStyle w:val="18"/>
              <w:rFonts w:hint="eastAsia" w:ascii="Times New Roman" w:hAnsi="Times New Roman" w:eastAsia="楷体_GB2312"/>
              <w:color w:val="auto"/>
              <w:kern w:val="2"/>
              <w:sz w:val="28"/>
              <w:szCs w:val="28"/>
            </w:rPr>
            <w:t>（二）地质灾害概况</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_Toc74663417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2</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"_Toc74663418" </w:instrText>
          </w:r>
          <w:r>
            <w:fldChar w:fldCharType="separate"/>
          </w:r>
          <w:r>
            <w:rPr>
              <w:rStyle w:val="18"/>
              <w:rFonts w:hint="eastAsia" w:ascii="Times New Roman" w:hAnsi="Times New Roman" w:eastAsia="楷体_GB2312"/>
              <w:color w:val="auto"/>
              <w:kern w:val="2"/>
              <w:sz w:val="28"/>
              <w:szCs w:val="28"/>
            </w:rPr>
            <w:t>（三）地质灾害防治现状</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_Toc74663418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3</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"_Toc74663419" </w:instrText>
          </w:r>
          <w:r>
            <w:fldChar w:fldCharType="separate"/>
          </w:r>
          <w:r>
            <w:rPr>
              <w:rStyle w:val="18"/>
              <w:rFonts w:hint="eastAsia" w:ascii="Times New Roman" w:hAnsi="Times New Roman" w:eastAsia="楷体_GB2312"/>
              <w:color w:val="auto"/>
              <w:kern w:val="2"/>
              <w:sz w:val="28"/>
              <w:szCs w:val="28"/>
            </w:rPr>
            <w:t>（四）面临形势</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_Toc74663419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5</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0"/>
            <w:tabs>
              <w:tab w:val="right" w:leader="dot" w:pos="8296"/>
            </w:tabs>
            <w:spacing w:after="0" w:line="540" w:lineRule="exact"/>
            <w:rPr>
              <w:rStyle w:val="18"/>
              <w:rFonts w:ascii="Times New Roman" w:hAnsi="Times New Roman" w:eastAsia="黑体"/>
              <w:sz w:val="28"/>
              <w:szCs w:val="28"/>
            </w:rPr>
          </w:pPr>
          <w:r>
            <w:fldChar w:fldCharType="begin"/>
          </w:r>
          <w:r>
            <w:instrText xml:space="preserve"> HYPERLINK \l "_Toc74663420" </w:instrText>
          </w:r>
          <w:r>
            <w:fldChar w:fldCharType="separate"/>
          </w:r>
          <w:r>
            <w:rPr>
              <w:rStyle w:val="18"/>
              <w:rFonts w:hint="eastAsia" w:ascii="Times New Roman" w:hAnsi="Times New Roman" w:eastAsia="黑体"/>
              <w:sz w:val="28"/>
              <w:szCs w:val="28"/>
            </w:rPr>
            <w:t>三、总体要求</w:t>
          </w:r>
          <w:r>
            <w:rPr>
              <w:rStyle w:val="18"/>
              <w:rFonts w:ascii="Times New Roman" w:hAnsi="Times New Roman" w:eastAsia="黑体"/>
              <w:sz w:val="28"/>
              <w:szCs w:val="28"/>
            </w:rPr>
            <w:tab/>
          </w:r>
          <w:r>
            <w:rPr>
              <w:rStyle w:val="18"/>
              <w:rFonts w:ascii="Times New Roman" w:hAnsi="Times New Roman" w:eastAsia="黑体"/>
              <w:sz w:val="28"/>
              <w:szCs w:val="28"/>
            </w:rPr>
            <w:fldChar w:fldCharType="begin"/>
          </w:r>
          <w:r>
            <w:rPr>
              <w:rStyle w:val="18"/>
              <w:rFonts w:ascii="Times New Roman" w:hAnsi="Times New Roman" w:eastAsia="黑体"/>
              <w:sz w:val="28"/>
              <w:szCs w:val="28"/>
            </w:rPr>
            <w:instrText xml:space="preserve"> PAGEREF _Toc74663420 \h </w:instrText>
          </w:r>
          <w:r>
            <w:rPr>
              <w:rStyle w:val="18"/>
              <w:rFonts w:ascii="Times New Roman" w:hAnsi="Times New Roman" w:eastAsia="黑体"/>
              <w:sz w:val="28"/>
              <w:szCs w:val="28"/>
            </w:rPr>
            <w:fldChar w:fldCharType="separate"/>
          </w:r>
          <w:r>
            <w:rPr>
              <w:rStyle w:val="18"/>
              <w:rFonts w:ascii="Times New Roman" w:hAnsi="Times New Roman" w:eastAsia="黑体"/>
              <w:sz w:val="28"/>
              <w:szCs w:val="28"/>
            </w:rPr>
            <w:t>8</w:t>
          </w:r>
          <w:r>
            <w:rPr>
              <w:rStyle w:val="18"/>
              <w:rFonts w:ascii="Times New Roman" w:hAnsi="Times New Roman" w:eastAsia="黑体"/>
              <w:sz w:val="28"/>
              <w:szCs w:val="28"/>
            </w:rPr>
            <w:fldChar w:fldCharType="end"/>
          </w:r>
          <w:r>
            <w:rPr>
              <w:rStyle w:val="18"/>
              <w:rFonts w:ascii="Times New Roman" w:hAnsi="Times New Roman" w:eastAsia="黑体"/>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"_Toc74663421" </w:instrText>
          </w:r>
          <w:r>
            <w:fldChar w:fldCharType="separate"/>
          </w:r>
          <w:r>
            <w:rPr>
              <w:rStyle w:val="18"/>
              <w:rFonts w:hint="eastAsia" w:ascii="Times New Roman" w:hAnsi="Times New Roman" w:eastAsia="楷体_GB2312"/>
              <w:color w:val="auto"/>
              <w:kern w:val="2"/>
              <w:sz w:val="28"/>
              <w:szCs w:val="28"/>
            </w:rPr>
            <w:t>（一）指导思想</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_Toc74663421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8</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"_Toc74663422" </w:instrText>
          </w:r>
          <w:r>
            <w:fldChar w:fldCharType="separate"/>
          </w:r>
          <w:r>
            <w:rPr>
              <w:rStyle w:val="18"/>
              <w:rFonts w:hint="eastAsia" w:ascii="Times New Roman" w:hAnsi="Times New Roman" w:eastAsia="楷体_GB2312"/>
              <w:color w:val="auto"/>
              <w:kern w:val="2"/>
              <w:sz w:val="28"/>
              <w:szCs w:val="28"/>
            </w:rPr>
            <w:t>（二）基本原则</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_Toc74663422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8</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"_Toc74663423" </w:instrText>
          </w:r>
          <w:r>
            <w:fldChar w:fldCharType="separate"/>
          </w:r>
          <w:r>
            <w:rPr>
              <w:rStyle w:val="18"/>
              <w:rFonts w:hint="eastAsia" w:ascii="Times New Roman" w:hAnsi="Times New Roman" w:eastAsia="楷体_GB2312"/>
              <w:color w:val="auto"/>
              <w:kern w:val="2"/>
              <w:sz w:val="28"/>
              <w:szCs w:val="28"/>
            </w:rPr>
            <w:t>（三）规划目标</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_Toc74663423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9</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0"/>
            <w:tabs>
              <w:tab w:val="right" w:leader="dot" w:pos="8296"/>
            </w:tabs>
            <w:spacing w:after="0" w:line="540" w:lineRule="exact"/>
            <w:rPr>
              <w:rStyle w:val="18"/>
              <w:rFonts w:ascii="Times New Roman" w:hAnsi="Times New Roman" w:eastAsia="黑体"/>
              <w:sz w:val="28"/>
              <w:szCs w:val="28"/>
            </w:rPr>
          </w:pPr>
          <w:r>
            <w:fldChar w:fldCharType="begin"/>
          </w:r>
          <w:r>
            <w:instrText xml:space="preserve"> HYPERLINK \l "_Toc74663424" </w:instrText>
          </w:r>
          <w:r>
            <w:fldChar w:fldCharType="separate"/>
          </w:r>
          <w:r>
            <w:rPr>
              <w:rStyle w:val="18"/>
              <w:rFonts w:hint="eastAsia" w:ascii="Times New Roman" w:hAnsi="Times New Roman" w:eastAsia="黑体"/>
              <w:sz w:val="28"/>
              <w:szCs w:val="28"/>
            </w:rPr>
            <w:t>四、加强地质灾害</w:t>
          </w:r>
          <w:r>
            <w:rPr>
              <w:rStyle w:val="18"/>
              <w:rFonts w:ascii="Times New Roman" w:hAnsi="Times New Roman" w:eastAsia="黑体"/>
              <w:sz w:val="28"/>
              <w:szCs w:val="28"/>
            </w:rPr>
            <w:t>“</w:t>
          </w:r>
          <w:r>
            <w:rPr>
              <w:rStyle w:val="18"/>
              <w:rFonts w:hint="eastAsia" w:ascii="Times New Roman" w:hAnsi="Times New Roman" w:eastAsia="黑体"/>
              <w:sz w:val="28"/>
              <w:szCs w:val="28"/>
            </w:rPr>
            <w:t>三区一点</w:t>
          </w:r>
          <w:r>
            <w:rPr>
              <w:rStyle w:val="18"/>
              <w:rFonts w:ascii="Times New Roman" w:hAnsi="Times New Roman" w:eastAsia="黑体"/>
              <w:sz w:val="28"/>
              <w:szCs w:val="28"/>
            </w:rPr>
            <w:t>”</w:t>
          </w:r>
          <w:r>
            <w:rPr>
              <w:rStyle w:val="18"/>
              <w:rFonts w:hint="eastAsia" w:ascii="Times New Roman" w:hAnsi="Times New Roman" w:eastAsia="黑体"/>
              <w:sz w:val="28"/>
              <w:szCs w:val="28"/>
            </w:rPr>
            <w:t>管理</w:t>
          </w:r>
          <w:r>
            <w:rPr>
              <w:rStyle w:val="18"/>
              <w:rFonts w:ascii="Times New Roman" w:hAnsi="Times New Roman" w:eastAsia="黑体"/>
              <w:sz w:val="28"/>
              <w:szCs w:val="28"/>
            </w:rPr>
            <w:tab/>
          </w:r>
          <w:r>
            <w:rPr>
              <w:rStyle w:val="18"/>
              <w:rFonts w:ascii="Times New Roman" w:hAnsi="Times New Roman" w:eastAsia="黑体"/>
              <w:sz w:val="28"/>
              <w:szCs w:val="28"/>
            </w:rPr>
            <w:fldChar w:fldCharType="begin"/>
          </w:r>
          <w:r>
            <w:rPr>
              <w:rStyle w:val="18"/>
              <w:rFonts w:ascii="Times New Roman" w:hAnsi="Times New Roman" w:eastAsia="黑体"/>
              <w:sz w:val="28"/>
              <w:szCs w:val="28"/>
            </w:rPr>
            <w:instrText xml:space="preserve"> PAGEREF _Toc74663424 \h </w:instrText>
          </w:r>
          <w:r>
            <w:rPr>
              <w:rStyle w:val="18"/>
              <w:rFonts w:ascii="Times New Roman" w:hAnsi="Times New Roman" w:eastAsia="黑体"/>
              <w:sz w:val="28"/>
              <w:szCs w:val="28"/>
            </w:rPr>
            <w:fldChar w:fldCharType="separate"/>
          </w:r>
          <w:r>
            <w:rPr>
              <w:rStyle w:val="18"/>
              <w:rFonts w:ascii="Times New Roman" w:hAnsi="Times New Roman" w:eastAsia="黑体"/>
              <w:sz w:val="28"/>
              <w:szCs w:val="28"/>
            </w:rPr>
            <w:t>12</w:t>
          </w:r>
          <w:r>
            <w:rPr>
              <w:rStyle w:val="18"/>
              <w:rFonts w:ascii="Times New Roman" w:hAnsi="Times New Roman" w:eastAsia="黑体"/>
              <w:sz w:val="28"/>
              <w:szCs w:val="28"/>
            </w:rPr>
            <w:fldChar w:fldCharType="end"/>
          </w:r>
          <w:r>
            <w:rPr>
              <w:rStyle w:val="18"/>
              <w:rFonts w:ascii="Times New Roman" w:hAnsi="Times New Roman" w:eastAsia="黑体"/>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"_Toc74663425" </w:instrText>
          </w:r>
          <w:r>
            <w:fldChar w:fldCharType="separate"/>
          </w:r>
          <w:r>
            <w:rPr>
              <w:rStyle w:val="18"/>
              <w:rFonts w:hint="eastAsia" w:ascii="Times New Roman" w:hAnsi="Times New Roman" w:eastAsia="楷体_GB2312"/>
              <w:color w:val="auto"/>
              <w:kern w:val="2"/>
              <w:sz w:val="28"/>
              <w:szCs w:val="28"/>
            </w:rPr>
            <w:t>（一）地质灾害易发区</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_Toc74663425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12</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"_Toc74663426" </w:instrText>
          </w:r>
          <w:r>
            <w:fldChar w:fldCharType="separate"/>
          </w:r>
          <w:r>
            <w:rPr>
              <w:rStyle w:val="18"/>
              <w:rFonts w:hint="eastAsia" w:ascii="Times New Roman" w:hAnsi="Times New Roman" w:eastAsia="楷体_GB2312"/>
              <w:color w:val="auto"/>
              <w:kern w:val="2"/>
              <w:sz w:val="28"/>
              <w:szCs w:val="28"/>
            </w:rPr>
            <w:t>（二）地质灾害重点防治区</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_Toc74663426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13</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"_Toc74663427" </w:instrText>
          </w:r>
          <w:r>
            <w:fldChar w:fldCharType="separate"/>
          </w:r>
          <w:r>
            <w:rPr>
              <w:rStyle w:val="18"/>
              <w:rFonts w:hint="eastAsia" w:ascii="Times New Roman" w:hAnsi="Times New Roman" w:eastAsia="楷体_GB2312"/>
              <w:color w:val="auto"/>
              <w:kern w:val="2"/>
              <w:sz w:val="28"/>
              <w:szCs w:val="28"/>
            </w:rPr>
            <w:t>（三）地质灾害风险防范区</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_Toc74663427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14</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"_Toc74663428" </w:instrText>
          </w:r>
          <w:r>
            <w:fldChar w:fldCharType="separate"/>
          </w:r>
          <w:r>
            <w:rPr>
              <w:rStyle w:val="18"/>
              <w:rFonts w:hint="eastAsia" w:ascii="Times New Roman" w:hAnsi="Times New Roman" w:eastAsia="楷体_GB2312"/>
              <w:color w:val="auto"/>
              <w:kern w:val="2"/>
              <w:sz w:val="28"/>
              <w:szCs w:val="28"/>
            </w:rPr>
            <w:t>（四）地质灾害隐患点</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_Toc74663428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15</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0"/>
            <w:tabs>
              <w:tab w:val="right" w:leader="dot" w:pos="8296"/>
            </w:tabs>
            <w:spacing w:after="0" w:line="540" w:lineRule="exact"/>
            <w:rPr>
              <w:rStyle w:val="18"/>
              <w:rFonts w:ascii="Times New Roman" w:hAnsi="Times New Roman" w:eastAsia="黑体"/>
              <w:sz w:val="28"/>
              <w:szCs w:val="28"/>
            </w:rPr>
          </w:pPr>
          <w:r>
            <w:fldChar w:fldCharType="begin"/>
          </w:r>
          <w:r>
            <w:instrText xml:space="preserve"> HYPERLINK \l "_Toc74663429" </w:instrText>
          </w:r>
          <w:r>
            <w:fldChar w:fldCharType="separate"/>
          </w:r>
          <w:r>
            <w:rPr>
              <w:rStyle w:val="18"/>
              <w:rFonts w:hint="eastAsia" w:ascii="Times New Roman" w:hAnsi="Times New Roman" w:eastAsia="黑体"/>
              <w:sz w:val="28"/>
              <w:szCs w:val="28"/>
            </w:rPr>
            <w:t>五、强化地质灾害六大体系建设</w:t>
          </w:r>
          <w:r>
            <w:rPr>
              <w:rStyle w:val="18"/>
              <w:rFonts w:ascii="Times New Roman" w:hAnsi="Times New Roman" w:eastAsia="黑体"/>
              <w:sz w:val="28"/>
              <w:szCs w:val="28"/>
            </w:rPr>
            <w:tab/>
          </w:r>
          <w:r>
            <w:rPr>
              <w:rStyle w:val="18"/>
              <w:rFonts w:ascii="Times New Roman" w:hAnsi="Times New Roman" w:eastAsia="黑体"/>
              <w:sz w:val="28"/>
              <w:szCs w:val="28"/>
            </w:rPr>
            <w:fldChar w:fldCharType="begin"/>
          </w:r>
          <w:r>
            <w:rPr>
              <w:rStyle w:val="18"/>
              <w:rFonts w:ascii="Times New Roman" w:hAnsi="Times New Roman" w:eastAsia="黑体"/>
              <w:sz w:val="28"/>
              <w:szCs w:val="28"/>
            </w:rPr>
            <w:instrText xml:space="preserve"> PAGEREF _Toc74663429 \h </w:instrText>
          </w:r>
          <w:r>
            <w:rPr>
              <w:rStyle w:val="18"/>
              <w:rFonts w:ascii="Times New Roman" w:hAnsi="Times New Roman" w:eastAsia="黑体"/>
              <w:sz w:val="28"/>
              <w:szCs w:val="28"/>
            </w:rPr>
            <w:fldChar w:fldCharType="separate"/>
          </w:r>
          <w:r>
            <w:rPr>
              <w:rStyle w:val="18"/>
              <w:rFonts w:ascii="Times New Roman" w:hAnsi="Times New Roman" w:eastAsia="黑体"/>
              <w:sz w:val="28"/>
              <w:szCs w:val="28"/>
            </w:rPr>
            <w:t>17</w:t>
          </w:r>
          <w:r>
            <w:rPr>
              <w:rStyle w:val="18"/>
              <w:rFonts w:ascii="Times New Roman" w:hAnsi="Times New Roman" w:eastAsia="黑体"/>
              <w:sz w:val="28"/>
              <w:szCs w:val="28"/>
            </w:rPr>
            <w:fldChar w:fldCharType="end"/>
          </w:r>
          <w:r>
            <w:rPr>
              <w:rStyle w:val="18"/>
              <w:rFonts w:ascii="Times New Roman" w:hAnsi="Times New Roman" w:eastAsia="黑体"/>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"_Toc74663430" </w:instrText>
          </w:r>
          <w:r>
            <w:fldChar w:fldCharType="separate"/>
          </w:r>
          <w:r>
            <w:rPr>
              <w:rStyle w:val="18"/>
              <w:rFonts w:hint="eastAsia" w:ascii="Times New Roman" w:hAnsi="Times New Roman" w:eastAsia="楷体_GB2312"/>
              <w:color w:val="auto"/>
              <w:kern w:val="2"/>
              <w:sz w:val="28"/>
              <w:szCs w:val="28"/>
            </w:rPr>
            <w:t>（一）地质灾害调查监测体系建设</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_Toc74663430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17</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"_Toc74663431" </w:instrText>
          </w:r>
          <w:r>
            <w:fldChar w:fldCharType="separate"/>
          </w:r>
          <w:r>
            <w:rPr>
              <w:rStyle w:val="18"/>
              <w:rFonts w:hint="eastAsia" w:ascii="Times New Roman" w:hAnsi="Times New Roman" w:eastAsia="楷体_GB2312"/>
              <w:color w:val="auto"/>
              <w:kern w:val="2"/>
              <w:sz w:val="28"/>
              <w:szCs w:val="28"/>
            </w:rPr>
            <w:t>（二）地质灾害预警应急体系建设</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_Toc74663431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18</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"_Toc74663432" </w:instrText>
          </w:r>
          <w:r>
            <w:fldChar w:fldCharType="separate"/>
          </w:r>
          <w:r>
            <w:rPr>
              <w:rStyle w:val="18"/>
              <w:rFonts w:hint="eastAsia" w:ascii="Times New Roman" w:hAnsi="Times New Roman" w:eastAsia="楷体_GB2312"/>
              <w:color w:val="auto"/>
              <w:kern w:val="2"/>
              <w:sz w:val="28"/>
              <w:szCs w:val="28"/>
            </w:rPr>
            <w:t>（三）地质灾害综合治理体系建设</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_Toc74663432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19</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"_Toc74663433" </w:instrText>
          </w:r>
          <w:r>
            <w:fldChar w:fldCharType="separate"/>
          </w:r>
          <w:r>
            <w:rPr>
              <w:rStyle w:val="18"/>
              <w:rFonts w:hint="eastAsia" w:ascii="Times New Roman" w:hAnsi="Times New Roman" w:eastAsia="楷体_GB2312"/>
              <w:color w:val="auto"/>
              <w:kern w:val="2"/>
              <w:sz w:val="28"/>
              <w:szCs w:val="28"/>
            </w:rPr>
            <w:t>（四）地质灾害数字管理体系建设</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_Toc74663433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19</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"_Toc74663434" </w:instrText>
          </w:r>
          <w:r>
            <w:fldChar w:fldCharType="separate"/>
          </w:r>
          <w:r>
            <w:rPr>
              <w:rStyle w:val="18"/>
              <w:rFonts w:hint="eastAsia" w:ascii="Times New Roman" w:hAnsi="Times New Roman" w:eastAsia="楷体_GB2312"/>
              <w:color w:val="auto"/>
              <w:kern w:val="2"/>
              <w:sz w:val="28"/>
              <w:szCs w:val="28"/>
            </w:rPr>
            <w:t>（五）地质灾害创新平台体系建设</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_Toc74663434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19</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"_Toc74663435" </w:instrText>
          </w:r>
          <w:r>
            <w:fldChar w:fldCharType="separate"/>
          </w:r>
          <w:r>
            <w:rPr>
              <w:rStyle w:val="18"/>
              <w:rFonts w:hint="eastAsia" w:ascii="Times New Roman" w:hAnsi="Times New Roman" w:eastAsia="楷体_GB2312"/>
              <w:color w:val="auto"/>
              <w:kern w:val="2"/>
              <w:sz w:val="28"/>
              <w:szCs w:val="28"/>
            </w:rPr>
            <w:t>（六）地质灾害人才队伍体系建设</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_Toc74663435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19</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0"/>
            <w:tabs>
              <w:tab w:val="right" w:leader="dot" w:pos="8296"/>
            </w:tabs>
            <w:spacing w:after="0" w:line="540" w:lineRule="exact"/>
            <w:rPr>
              <w:rStyle w:val="18"/>
              <w:rFonts w:ascii="Times New Roman" w:hAnsi="Times New Roman" w:eastAsia="黑体"/>
              <w:sz w:val="28"/>
              <w:szCs w:val="28"/>
            </w:rPr>
          </w:pPr>
          <w:r>
            <w:fldChar w:fldCharType="begin"/>
          </w:r>
          <w:r>
            <w:instrText xml:space="preserve"> HYPERLINK \l "_Toc74663436" </w:instrText>
          </w:r>
          <w:r>
            <w:fldChar w:fldCharType="separate"/>
          </w:r>
          <w:r>
            <w:rPr>
              <w:rStyle w:val="18"/>
              <w:rFonts w:hint="eastAsia" w:ascii="Times New Roman" w:hAnsi="Times New Roman" w:eastAsia="黑体"/>
              <w:sz w:val="28"/>
              <w:szCs w:val="28"/>
            </w:rPr>
            <w:t>六、重点工程</w:t>
          </w:r>
          <w:r>
            <w:rPr>
              <w:rStyle w:val="18"/>
              <w:rFonts w:ascii="Times New Roman" w:hAnsi="Times New Roman" w:eastAsia="黑体"/>
              <w:sz w:val="28"/>
              <w:szCs w:val="28"/>
            </w:rPr>
            <w:tab/>
          </w:r>
          <w:r>
            <w:rPr>
              <w:rStyle w:val="18"/>
              <w:rFonts w:ascii="Times New Roman" w:hAnsi="Times New Roman" w:eastAsia="黑体"/>
              <w:sz w:val="28"/>
              <w:szCs w:val="28"/>
            </w:rPr>
            <w:fldChar w:fldCharType="begin"/>
          </w:r>
          <w:r>
            <w:rPr>
              <w:rStyle w:val="18"/>
              <w:rFonts w:ascii="Times New Roman" w:hAnsi="Times New Roman" w:eastAsia="黑体"/>
              <w:sz w:val="28"/>
              <w:szCs w:val="28"/>
            </w:rPr>
            <w:instrText xml:space="preserve"> PAGEREF _Toc74663436 \h </w:instrText>
          </w:r>
          <w:r>
            <w:rPr>
              <w:rStyle w:val="18"/>
              <w:rFonts w:ascii="Times New Roman" w:hAnsi="Times New Roman" w:eastAsia="黑体"/>
              <w:sz w:val="28"/>
              <w:szCs w:val="28"/>
            </w:rPr>
            <w:fldChar w:fldCharType="separate"/>
          </w:r>
          <w:r>
            <w:rPr>
              <w:rStyle w:val="18"/>
              <w:rFonts w:ascii="Times New Roman" w:hAnsi="Times New Roman" w:eastAsia="黑体"/>
              <w:sz w:val="28"/>
              <w:szCs w:val="28"/>
            </w:rPr>
            <w:t>20</w:t>
          </w:r>
          <w:r>
            <w:rPr>
              <w:rStyle w:val="18"/>
              <w:rFonts w:ascii="Times New Roman" w:hAnsi="Times New Roman" w:eastAsia="黑体"/>
              <w:sz w:val="28"/>
              <w:szCs w:val="28"/>
            </w:rPr>
            <w:fldChar w:fldCharType="end"/>
          </w:r>
          <w:r>
            <w:rPr>
              <w:rStyle w:val="18"/>
              <w:rFonts w:ascii="Times New Roman" w:hAnsi="Times New Roman" w:eastAsia="黑体"/>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"_Toc74663437" </w:instrText>
          </w:r>
          <w:r>
            <w:fldChar w:fldCharType="separate"/>
          </w:r>
          <w:r>
            <w:rPr>
              <w:rStyle w:val="18"/>
              <w:rFonts w:hint="eastAsia" w:ascii="Times New Roman" w:hAnsi="Times New Roman" w:eastAsia="楷体_GB2312"/>
              <w:color w:val="auto"/>
              <w:kern w:val="2"/>
              <w:sz w:val="28"/>
              <w:szCs w:val="28"/>
            </w:rPr>
            <w:t>（一）地质灾害风险调查工程</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_Toc74663437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20</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"_Toc74663438" </w:instrText>
          </w:r>
          <w:r>
            <w:fldChar w:fldCharType="separate"/>
          </w:r>
          <w:r>
            <w:rPr>
              <w:rStyle w:val="18"/>
              <w:rFonts w:hint="eastAsia" w:ascii="Times New Roman" w:hAnsi="Times New Roman" w:eastAsia="楷体_GB2312"/>
              <w:color w:val="auto"/>
              <w:kern w:val="2"/>
              <w:sz w:val="28"/>
              <w:szCs w:val="28"/>
            </w:rPr>
            <w:t>（二）地质灾害监测网建设工程</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_Toc74663438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20</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"_Toc74663439" </w:instrText>
          </w:r>
          <w:r>
            <w:fldChar w:fldCharType="separate"/>
          </w:r>
          <w:r>
            <w:rPr>
              <w:rStyle w:val="18"/>
              <w:rFonts w:hint="eastAsia" w:ascii="Times New Roman" w:hAnsi="Times New Roman" w:eastAsia="楷体_GB2312"/>
              <w:color w:val="auto"/>
              <w:kern w:val="2"/>
              <w:sz w:val="28"/>
              <w:szCs w:val="28"/>
            </w:rPr>
            <w:t>（三）地质灾害风险预报预警工程</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_Toc74663439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21</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"_Toc74663440" </w:instrText>
          </w:r>
          <w:r>
            <w:fldChar w:fldCharType="separate"/>
          </w:r>
          <w:r>
            <w:rPr>
              <w:rStyle w:val="18"/>
              <w:rFonts w:hint="eastAsia" w:ascii="Times New Roman" w:hAnsi="Times New Roman" w:eastAsia="楷体_GB2312"/>
              <w:color w:val="auto"/>
              <w:kern w:val="2"/>
              <w:sz w:val="28"/>
              <w:szCs w:val="28"/>
            </w:rPr>
            <w:t>（四）地质灾害风险管控工程</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_Toc74663440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21</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"_Toc74663441" </w:instrText>
          </w:r>
          <w:r>
            <w:fldChar w:fldCharType="separate"/>
          </w:r>
          <w:r>
            <w:rPr>
              <w:rStyle w:val="18"/>
              <w:rFonts w:hint="eastAsia" w:ascii="Times New Roman" w:hAnsi="Times New Roman" w:eastAsia="楷体_GB2312"/>
              <w:color w:val="auto"/>
              <w:kern w:val="2"/>
              <w:sz w:val="28"/>
              <w:szCs w:val="28"/>
            </w:rPr>
            <w:t>（五）地质灾害综合治理工程</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_Toc74663441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21</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kern w:val="2"/>
              <w:sz w:val="28"/>
              <w:szCs w:val="28"/>
            </w:rPr>
          </w:pPr>
          <w:r>
            <w:fldChar w:fldCharType="begin"/>
          </w:r>
          <w:r>
            <w:instrText xml:space="preserve"> HYPERLINK \l "_Toc74663442" </w:instrText>
          </w:r>
          <w:r>
            <w:fldChar w:fldCharType="separate"/>
          </w:r>
          <w:r>
            <w:rPr>
              <w:rStyle w:val="18"/>
              <w:rFonts w:hint="eastAsia" w:ascii="Times New Roman" w:hAnsi="Times New Roman" w:eastAsia="楷体_GB2312"/>
              <w:color w:val="auto"/>
              <w:kern w:val="2"/>
              <w:sz w:val="28"/>
              <w:szCs w:val="28"/>
            </w:rPr>
            <w:t>（六）地质灾害人才和宣教工程</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_Toc74663442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22</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0"/>
            <w:tabs>
              <w:tab w:val="right" w:leader="dot" w:pos="8296"/>
            </w:tabs>
            <w:spacing w:after="0" w:line="540" w:lineRule="exact"/>
            <w:rPr>
              <w:rStyle w:val="18"/>
              <w:rFonts w:ascii="Times New Roman" w:hAnsi="Times New Roman" w:eastAsia="黑体"/>
              <w:sz w:val="28"/>
              <w:szCs w:val="28"/>
            </w:rPr>
          </w:pPr>
          <w:r>
            <w:fldChar w:fldCharType="begin"/>
          </w:r>
          <w:r>
            <w:instrText xml:space="preserve"> HYPERLINK \l "_Toc74663443" </w:instrText>
          </w:r>
          <w:r>
            <w:fldChar w:fldCharType="separate"/>
          </w:r>
          <w:r>
            <w:rPr>
              <w:rStyle w:val="18"/>
              <w:rFonts w:hint="eastAsia" w:ascii="Times New Roman" w:hAnsi="Times New Roman" w:eastAsia="黑体"/>
              <w:sz w:val="28"/>
              <w:szCs w:val="28"/>
            </w:rPr>
            <w:t>七、保障措施</w:t>
          </w:r>
          <w:r>
            <w:rPr>
              <w:rStyle w:val="18"/>
              <w:rFonts w:ascii="Times New Roman" w:hAnsi="Times New Roman" w:eastAsia="黑体"/>
              <w:sz w:val="28"/>
              <w:szCs w:val="28"/>
            </w:rPr>
            <w:tab/>
          </w:r>
          <w:r>
            <w:rPr>
              <w:rStyle w:val="18"/>
              <w:rFonts w:ascii="Times New Roman" w:hAnsi="Times New Roman" w:eastAsia="黑体"/>
              <w:sz w:val="28"/>
              <w:szCs w:val="28"/>
            </w:rPr>
            <w:fldChar w:fldCharType="begin"/>
          </w:r>
          <w:r>
            <w:rPr>
              <w:rStyle w:val="18"/>
              <w:rFonts w:ascii="Times New Roman" w:hAnsi="Times New Roman" w:eastAsia="黑体"/>
              <w:sz w:val="28"/>
              <w:szCs w:val="28"/>
            </w:rPr>
            <w:instrText xml:space="preserve"> PAGEREF _Toc74663443 \h </w:instrText>
          </w:r>
          <w:r>
            <w:rPr>
              <w:rStyle w:val="18"/>
              <w:rFonts w:ascii="Times New Roman" w:hAnsi="Times New Roman" w:eastAsia="黑体"/>
              <w:sz w:val="28"/>
              <w:szCs w:val="28"/>
            </w:rPr>
            <w:fldChar w:fldCharType="separate"/>
          </w:r>
          <w:r>
            <w:rPr>
              <w:rStyle w:val="18"/>
              <w:rFonts w:ascii="Times New Roman" w:hAnsi="Times New Roman" w:eastAsia="黑体"/>
              <w:sz w:val="28"/>
              <w:szCs w:val="28"/>
            </w:rPr>
            <w:t>23</w:t>
          </w:r>
          <w:r>
            <w:rPr>
              <w:rStyle w:val="18"/>
              <w:rFonts w:ascii="Times New Roman" w:hAnsi="Times New Roman" w:eastAsia="黑体"/>
              <w:sz w:val="28"/>
              <w:szCs w:val="28"/>
            </w:rPr>
            <w:fldChar w:fldCharType="end"/>
          </w:r>
          <w:r>
            <w:rPr>
              <w:rStyle w:val="18"/>
              <w:rFonts w:ascii="Times New Roman" w:hAnsi="Times New Roman" w:eastAsia="黑体"/>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sz w:val="28"/>
              <w:szCs w:val="28"/>
            </w:rPr>
          </w:pPr>
          <w:r>
            <w:fldChar w:fldCharType="begin"/>
          </w:r>
          <w:r>
            <w:instrText xml:space="preserve"> HYPERLINK \l "_Toc74663444" </w:instrText>
          </w:r>
          <w:r>
            <w:fldChar w:fldCharType="separate"/>
          </w:r>
          <w:r>
            <w:rPr>
              <w:rStyle w:val="18"/>
              <w:rFonts w:hint="eastAsia" w:ascii="Times New Roman" w:hAnsi="Times New Roman" w:eastAsia="楷体_GB2312"/>
              <w:color w:val="auto"/>
              <w:kern w:val="2"/>
              <w:sz w:val="28"/>
              <w:szCs w:val="28"/>
            </w:rPr>
            <w:t>（一）加强组织领导，明确责任分工</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_Toc74663444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23</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sz w:val="28"/>
              <w:szCs w:val="28"/>
            </w:rPr>
          </w:pPr>
          <w:r>
            <w:fldChar w:fldCharType="begin"/>
          </w:r>
          <w:r>
            <w:instrText xml:space="preserve"> HYPERLINK \l "_Toc74663445" </w:instrText>
          </w:r>
          <w:r>
            <w:fldChar w:fldCharType="separate"/>
          </w:r>
          <w:r>
            <w:rPr>
              <w:rStyle w:val="18"/>
              <w:rFonts w:hint="eastAsia" w:ascii="Times New Roman" w:hAnsi="Times New Roman" w:eastAsia="楷体_GB2312"/>
              <w:color w:val="auto"/>
              <w:kern w:val="2"/>
              <w:sz w:val="28"/>
              <w:szCs w:val="28"/>
            </w:rPr>
            <w:t>（二）做好资金保障，加强项目管理</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_Toc74663445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23</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auto"/>
              <w:sz w:val="28"/>
              <w:szCs w:val="28"/>
            </w:rPr>
          </w:pPr>
          <w:r>
            <w:fldChar w:fldCharType="begin"/>
          </w:r>
          <w:r>
            <w:instrText xml:space="preserve"> HYPERLINK \l "_Toc74663446" </w:instrText>
          </w:r>
          <w:r>
            <w:fldChar w:fldCharType="separate"/>
          </w:r>
          <w:r>
            <w:rPr>
              <w:rStyle w:val="18"/>
              <w:rFonts w:hint="eastAsia" w:ascii="Times New Roman" w:hAnsi="Times New Roman" w:eastAsia="楷体_GB2312"/>
              <w:color w:val="auto"/>
              <w:kern w:val="2"/>
              <w:sz w:val="28"/>
              <w:szCs w:val="28"/>
            </w:rPr>
            <w:t>（三）开展创新试点，加强队伍建设</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_Toc74663446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23</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pStyle w:val="12"/>
            <w:tabs>
              <w:tab w:val="right" w:leader="dot" w:pos="8296"/>
            </w:tabs>
            <w:spacing w:after="0" w:line="540" w:lineRule="exact"/>
            <w:rPr>
              <w:rStyle w:val="18"/>
              <w:rFonts w:ascii="Times New Roman" w:hAnsi="Times New Roman" w:eastAsia="楷体_GB2312"/>
              <w:color w:val="0563C1"/>
              <w:sz w:val="28"/>
              <w:szCs w:val="28"/>
            </w:rPr>
          </w:pPr>
          <w:r>
            <w:fldChar w:fldCharType="begin"/>
          </w:r>
          <w:r>
            <w:instrText xml:space="preserve"> HYPERLINK \l "_Toc74663447" </w:instrText>
          </w:r>
          <w:r>
            <w:fldChar w:fldCharType="separate"/>
          </w:r>
          <w:r>
            <w:rPr>
              <w:rStyle w:val="18"/>
              <w:rFonts w:hint="eastAsia" w:ascii="Times New Roman" w:hAnsi="Times New Roman" w:eastAsia="楷体_GB2312"/>
              <w:color w:val="auto"/>
              <w:kern w:val="2"/>
              <w:sz w:val="28"/>
              <w:szCs w:val="28"/>
            </w:rPr>
            <w:t>（四）开展科普教育，共创良好氛围</w:t>
          </w:r>
          <w:r>
            <w:rPr>
              <w:rStyle w:val="18"/>
              <w:rFonts w:ascii="Times New Roman" w:hAnsi="Times New Roman" w:eastAsia="楷体_GB2312"/>
              <w:color w:val="auto"/>
              <w:kern w:val="2"/>
              <w:sz w:val="28"/>
              <w:szCs w:val="28"/>
            </w:rPr>
            <w:tab/>
          </w:r>
          <w:r>
            <w:rPr>
              <w:rStyle w:val="18"/>
              <w:rFonts w:ascii="Times New Roman" w:hAnsi="Times New Roman" w:eastAsia="楷体_GB2312"/>
              <w:color w:val="auto"/>
              <w:kern w:val="2"/>
              <w:sz w:val="28"/>
              <w:szCs w:val="28"/>
            </w:rPr>
            <w:fldChar w:fldCharType="begin"/>
          </w:r>
          <w:r>
            <w:rPr>
              <w:rStyle w:val="18"/>
              <w:rFonts w:ascii="Times New Roman" w:hAnsi="Times New Roman" w:eastAsia="楷体_GB2312"/>
              <w:color w:val="auto"/>
              <w:kern w:val="2"/>
              <w:sz w:val="28"/>
              <w:szCs w:val="28"/>
            </w:rPr>
            <w:instrText xml:space="preserve"> PAGEREF _Toc74663447 \h </w:instrText>
          </w:r>
          <w:r>
            <w:rPr>
              <w:rStyle w:val="18"/>
              <w:rFonts w:ascii="Times New Roman" w:hAnsi="Times New Roman" w:eastAsia="楷体_GB2312"/>
              <w:color w:val="auto"/>
              <w:kern w:val="2"/>
              <w:sz w:val="28"/>
              <w:szCs w:val="28"/>
            </w:rPr>
            <w:fldChar w:fldCharType="separate"/>
          </w:r>
          <w:r>
            <w:rPr>
              <w:rStyle w:val="18"/>
              <w:rFonts w:ascii="Times New Roman" w:hAnsi="Times New Roman" w:eastAsia="楷体_GB2312"/>
              <w:color w:val="auto"/>
              <w:kern w:val="2"/>
              <w:sz w:val="28"/>
              <w:szCs w:val="28"/>
            </w:rPr>
            <w:t>23</w:t>
          </w:r>
          <w:r>
            <w:rPr>
              <w:rStyle w:val="18"/>
              <w:rFonts w:ascii="Times New Roman" w:hAnsi="Times New Roman" w:eastAsia="楷体_GB2312"/>
              <w:color w:val="auto"/>
              <w:kern w:val="2"/>
              <w:sz w:val="28"/>
              <w:szCs w:val="28"/>
            </w:rPr>
            <w:fldChar w:fldCharType="end"/>
          </w:r>
          <w:r>
            <w:rPr>
              <w:rStyle w:val="18"/>
              <w:rFonts w:ascii="Times New Roman" w:hAnsi="Times New Roman" w:eastAsia="楷体_GB2312"/>
              <w:color w:val="auto"/>
              <w:kern w:val="2"/>
              <w:sz w:val="28"/>
              <w:szCs w:val="28"/>
            </w:rPr>
            <w:fldChar w:fldCharType="end"/>
          </w:r>
        </w:p>
        <w:p>
          <w:pPr>
            <w:spacing w:line="540" w:lineRule="exact"/>
            <w:ind w:firstLine="84" w:firstLineChars="35"/>
            <w:rPr>
              <w:rFonts w:ascii="Times New Roman" w:hAnsi="Times New Roman" w:eastAsia="仿宋" w:cs="Times New Roman"/>
              <w:bCs/>
              <w:sz w:val="24"/>
              <w:szCs w:val="24"/>
            </w:rPr>
          </w:pPr>
          <w:r>
            <w:rPr>
              <w:rFonts w:ascii="Times New Roman" w:hAnsi="Times New Roman" w:eastAsia="仿宋" w:cs="Times New Roman"/>
              <w:bCs/>
              <w:sz w:val="24"/>
              <w:szCs w:val="24"/>
            </w:rPr>
            <w:fldChar w:fldCharType="end"/>
          </w:r>
          <w:r>
            <w:rPr>
              <w:color w:val="auto"/>
              <w:u w:val="none"/>
            </w:rPr>
            <w:fldChar w:fldCharType="begin"/>
          </w:r>
          <w:r>
            <w:rPr>
              <w:color w:val="auto"/>
              <w:u w:val="none"/>
            </w:rPr>
            <w:instrText xml:space="preserve"> HYPERLINK \l "_Toc74663443" </w:instrText>
          </w:r>
          <w:r>
            <w:rPr>
              <w:color w:val="auto"/>
              <w:u w:val="none"/>
            </w:rPr>
            <w:fldChar w:fldCharType="separate"/>
          </w:r>
          <w:r>
            <w:rPr>
              <w:rStyle w:val="18"/>
              <w:rFonts w:hint="eastAsia" w:ascii="Times New Roman" w:hAnsi="Times New Roman" w:eastAsia="黑体"/>
              <w:color w:val="auto"/>
              <w:sz w:val="28"/>
              <w:szCs w:val="28"/>
              <w:u w:val="none"/>
              <w:lang w:val="en-US" w:eastAsia="zh-CN"/>
            </w:rPr>
            <w:t>八</w:t>
          </w:r>
          <w:r>
            <w:rPr>
              <w:rStyle w:val="18"/>
              <w:rFonts w:hint="eastAsia" w:ascii="Times New Roman" w:hAnsi="Times New Roman" w:eastAsia="黑体"/>
              <w:color w:val="auto"/>
              <w:sz w:val="28"/>
              <w:szCs w:val="28"/>
              <w:u w:val="none"/>
            </w:rPr>
            <w:t>、</w:t>
          </w:r>
          <w:r>
            <w:rPr>
              <w:rStyle w:val="18"/>
              <w:rFonts w:hint="eastAsia" w:ascii="Times New Roman" w:hAnsi="Times New Roman" w:eastAsia="黑体"/>
              <w:color w:val="auto"/>
              <w:sz w:val="28"/>
              <w:szCs w:val="28"/>
              <w:u w:val="none"/>
              <w:lang w:val="en-US" w:eastAsia="zh-CN"/>
            </w:rPr>
            <w:t>附则................................................................................................</w:t>
          </w:r>
          <w:r>
            <w:rPr>
              <w:rStyle w:val="18"/>
              <w:rFonts w:ascii="Times New Roman" w:hAnsi="Times New Roman" w:eastAsia="黑体"/>
              <w:color w:val="auto"/>
              <w:sz w:val="28"/>
              <w:szCs w:val="28"/>
              <w:u w:val="none"/>
            </w:rPr>
            <w:tab/>
          </w:r>
          <w:r>
            <w:rPr>
              <w:rStyle w:val="18"/>
              <w:rFonts w:ascii="Times New Roman" w:hAnsi="Times New Roman" w:eastAsia="黑体"/>
              <w:color w:val="auto"/>
              <w:sz w:val="28"/>
              <w:szCs w:val="28"/>
              <w:u w:val="none"/>
            </w:rPr>
            <w:fldChar w:fldCharType="begin"/>
          </w:r>
          <w:r>
            <w:rPr>
              <w:rStyle w:val="18"/>
              <w:rFonts w:ascii="Times New Roman" w:hAnsi="Times New Roman" w:eastAsia="黑体"/>
              <w:color w:val="auto"/>
              <w:sz w:val="28"/>
              <w:szCs w:val="28"/>
              <w:u w:val="none"/>
            </w:rPr>
            <w:instrText xml:space="preserve"> PAGEREF _Toc74663443 \h </w:instrText>
          </w:r>
          <w:r>
            <w:rPr>
              <w:rStyle w:val="18"/>
              <w:rFonts w:ascii="Times New Roman" w:hAnsi="Times New Roman" w:eastAsia="黑体"/>
              <w:color w:val="auto"/>
              <w:sz w:val="28"/>
              <w:szCs w:val="28"/>
              <w:u w:val="none"/>
            </w:rPr>
            <w:fldChar w:fldCharType="separate"/>
          </w:r>
          <w:r>
            <w:rPr>
              <w:rStyle w:val="18"/>
              <w:rFonts w:ascii="Times New Roman" w:hAnsi="Times New Roman" w:eastAsia="黑体"/>
              <w:color w:val="auto"/>
              <w:sz w:val="28"/>
              <w:szCs w:val="28"/>
              <w:u w:val="none"/>
            </w:rPr>
            <w:t>2</w:t>
          </w:r>
          <w:r>
            <w:rPr>
              <w:rStyle w:val="18"/>
              <w:rFonts w:hint="eastAsia" w:ascii="Times New Roman" w:hAnsi="Times New Roman" w:eastAsia="黑体"/>
              <w:color w:val="auto"/>
              <w:sz w:val="28"/>
              <w:szCs w:val="28"/>
              <w:u w:val="none"/>
              <w:lang w:val="en-US" w:eastAsia="zh-CN"/>
            </w:rPr>
            <w:t>5</w:t>
          </w:r>
          <w:r>
            <w:rPr>
              <w:rStyle w:val="18"/>
              <w:rFonts w:ascii="Times New Roman" w:hAnsi="Times New Roman" w:eastAsia="黑体"/>
              <w:color w:val="auto"/>
              <w:sz w:val="28"/>
              <w:szCs w:val="28"/>
              <w:u w:val="none"/>
            </w:rPr>
            <w:fldChar w:fldCharType="end"/>
          </w:r>
          <w:r>
            <w:rPr>
              <w:rStyle w:val="18"/>
              <w:rFonts w:ascii="Times New Roman" w:hAnsi="Times New Roman" w:eastAsia="黑体"/>
              <w:color w:val="auto"/>
              <w:sz w:val="28"/>
              <w:szCs w:val="28"/>
              <w:u w:val="none"/>
            </w:rPr>
            <w:fldChar w:fldCharType="end"/>
          </w:r>
        </w:p>
        <w:p>
          <w:pPr>
            <w:spacing w:line="540" w:lineRule="exact"/>
            <w:ind w:firstLine="98" w:firstLineChars="35"/>
            <w:rPr>
              <w:rFonts w:ascii="Times New Roman" w:hAnsi="Times New Roman" w:eastAsia="黑体" w:cs="Times New Roman"/>
              <w:bCs/>
              <w:sz w:val="28"/>
              <w:szCs w:val="28"/>
            </w:rPr>
          </w:pPr>
          <w:r>
            <w:rPr>
              <w:rFonts w:ascii="Times New Roman" w:hAnsi="Times New Roman" w:eastAsia="黑体" w:cs="Times New Roman"/>
              <w:bCs/>
              <w:sz w:val="28"/>
              <w:szCs w:val="28"/>
            </w:rPr>
            <w:t>附 表</w:t>
          </w:r>
        </w:p>
        <w:p>
          <w:pPr>
            <w:pStyle w:val="22"/>
            <w:snapToGrid w:val="0"/>
            <w:spacing w:before="0" w:beforeAutospacing="0" w:after="0" w:afterAutospacing="0" w:line="540" w:lineRule="exact"/>
            <w:ind w:firstLine="98" w:firstLineChars="35"/>
            <w:jc w:val="both"/>
            <w:rPr>
              <w:rFonts w:ascii="Times New Roman" w:hAnsi="Times New Roman" w:eastAsia="黑体"/>
              <w:bCs/>
              <w:sz w:val="28"/>
              <w:szCs w:val="28"/>
            </w:rPr>
          </w:pPr>
          <w:r>
            <w:rPr>
              <w:rFonts w:ascii="Times New Roman" w:hAnsi="Times New Roman" w:eastAsia="黑体"/>
              <w:bCs/>
              <w:sz w:val="28"/>
              <w:szCs w:val="28"/>
            </w:rPr>
            <w:t xml:space="preserve">附表1  </w:t>
          </w:r>
          <w:r>
            <w:rPr>
              <w:rFonts w:hint="eastAsia" w:ascii="Times New Roman" w:hAnsi="Times New Roman" w:eastAsia="黑体"/>
              <w:bCs/>
              <w:sz w:val="28"/>
              <w:szCs w:val="28"/>
            </w:rPr>
            <w:t>武义县地质灾害隐患点一览表</w:t>
          </w:r>
        </w:p>
        <w:p>
          <w:pPr>
            <w:pStyle w:val="22"/>
            <w:snapToGrid w:val="0"/>
            <w:spacing w:before="0" w:beforeAutospacing="0" w:after="0" w:afterAutospacing="0" w:line="540" w:lineRule="exact"/>
            <w:ind w:firstLine="98" w:firstLineChars="35"/>
            <w:jc w:val="both"/>
            <w:rPr>
              <w:rFonts w:ascii="Times New Roman" w:hAnsi="Times New Roman" w:eastAsia="黑体"/>
              <w:bCs/>
              <w:color w:val="FF0000"/>
              <w:sz w:val="28"/>
              <w:szCs w:val="28"/>
            </w:rPr>
          </w:pPr>
          <w:r>
            <w:rPr>
              <w:rFonts w:hint="eastAsia" w:ascii="Times New Roman" w:hAnsi="Times New Roman" w:eastAsia="黑体"/>
              <w:bCs/>
              <w:sz w:val="28"/>
              <w:szCs w:val="28"/>
            </w:rPr>
            <w:t>附表</w:t>
          </w:r>
          <w:r>
            <w:rPr>
              <w:rFonts w:ascii="Times New Roman" w:hAnsi="Times New Roman" w:eastAsia="黑体"/>
              <w:bCs/>
              <w:sz w:val="28"/>
              <w:szCs w:val="28"/>
            </w:rPr>
            <w:t xml:space="preserve">2  </w:t>
          </w:r>
          <w:r>
            <w:rPr>
              <w:rFonts w:hint="eastAsia" w:ascii="Times New Roman" w:hAnsi="Times New Roman" w:eastAsia="黑体"/>
              <w:bCs/>
              <w:sz w:val="28"/>
              <w:szCs w:val="28"/>
            </w:rPr>
            <w:t>武义县地质灾害风险防范区一览表</w:t>
          </w:r>
        </w:p>
        <w:p>
          <w:pPr>
            <w:pStyle w:val="22"/>
            <w:snapToGrid w:val="0"/>
            <w:spacing w:before="0" w:beforeAutospacing="0" w:after="0" w:afterAutospacing="0" w:line="540" w:lineRule="exact"/>
            <w:ind w:firstLine="98" w:firstLineChars="35"/>
            <w:jc w:val="both"/>
            <w:rPr>
              <w:rFonts w:ascii="Times New Roman" w:hAnsi="Times New Roman" w:eastAsia="黑体"/>
              <w:bCs/>
              <w:sz w:val="28"/>
              <w:szCs w:val="28"/>
            </w:rPr>
          </w:pPr>
          <w:r>
            <w:rPr>
              <w:rFonts w:hint="eastAsia" w:ascii="Times New Roman" w:hAnsi="Times New Roman" w:eastAsia="黑体"/>
              <w:bCs/>
              <w:sz w:val="28"/>
              <w:szCs w:val="28"/>
            </w:rPr>
            <w:t>附表</w:t>
          </w:r>
          <w:r>
            <w:rPr>
              <w:rFonts w:ascii="Times New Roman" w:hAnsi="Times New Roman" w:eastAsia="黑体"/>
              <w:bCs/>
              <w:sz w:val="28"/>
              <w:szCs w:val="28"/>
            </w:rPr>
            <w:t xml:space="preserve">3  </w:t>
          </w:r>
          <w:r>
            <w:rPr>
              <w:rFonts w:hint="eastAsia" w:ascii="Times New Roman" w:hAnsi="Times New Roman" w:eastAsia="黑体"/>
              <w:bCs/>
              <w:sz w:val="28"/>
              <w:szCs w:val="28"/>
            </w:rPr>
            <w:t>武义县地质灾害易发程度分区说明表</w:t>
          </w:r>
        </w:p>
        <w:p>
          <w:pPr>
            <w:spacing w:line="540" w:lineRule="exact"/>
            <w:ind w:firstLine="98" w:firstLineChars="35"/>
            <w:rPr>
              <w:rFonts w:ascii="Times New Roman" w:hAnsi="Times New Roman" w:eastAsia="黑体" w:cs="Times New Roman"/>
              <w:bCs/>
              <w:sz w:val="28"/>
              <w:szCs w:val="28"/>
            </w:rPr>
          </w:pPr>
          <w:r>
            <w:rPr>
              <w:rFonts w:hint="eastAsia" w:ascii="Times New Roman" w:hAnsi="Times New Roman" w:eastAsia="黑体" w:cs="Times New Roman"/>
              <w:bCs/>
              <w:sz w:val="28"/>
              <w:szCs w:val="28"/>
            </w:rPr>
            <w:t>附表</w:t>
          </w:r>
          <w:r>
            <w:rPr>
              <w:rFonts w:ascii="Times New Roman" w:hAnsi="Times New Roman" w:eastAsia="黑体" w:cs="Times New Roman"/>
              <w:bCs/>
              <w:sz w:val="28"/>
              <w:szCs w:val="28"/>
            </w:rPr>
            <w:t xml:space="preserve">4  </w:t>
          </w:r>
          <w:r>
            <w:rPr>
              <w:rFonts w:hint="eastAsia" w:ascii="Times New Roman" w:hAnsi="Times New Roman" w:eastAsia="黑体" w:cs="Times New Roman"/>
              <w:bCs/>
              <w:sz w:val="28"/>
              <w:szCs w:val="28"/>
            </w:rPr>
            <w:t>武义县地质灾害重点防治区说明表</w:t>
          </w:r>
        </w:p>
        <w:p>
          <w:pPr>
            <w:spacing w:line="540" w:lineRule="exact"/>
            <w:ind w:firstLine="98" w:firstLineChars="35"/>
            <w:rPr>
              <w:rFonts w:ascii="Times New Roman" w:hAnsi="Times New Roman" w:eastAsia="黑体" w:cs="Times New Roman"/>
              <w:bCs/>
              <w:sz w:val="28"/>
              <w:szCs w:val="28"/>
            </w:rPr>
          </w:pPr>
          <w:r>
            <w:rPr>
              <w:rFonts w:hint="eastAsia" w:ascii="Times New Roman" w:hAnsi="Times New Roman" w:eastAsia="黑体" w:cs="Times New Roman"/>
              <w:bCs/>
              <w:sz w:val="28"/>
              <w:szCs w:val="28"/>
            </w:rPr>
            <w:t>附表</w:t>
          </w:r>
          <w:r>
            <w:rPr>
              <w:rFonts w:ascii="Times New Roman" w:hAnsi="Times New Roman" w:eastAsia="黑体" w:cs="Times New Roman"/>
              <w:bCs/>
              <w:sz w:val="28"/>
              <w:szCs w:val="28"/>
            </w:rPr>
            <w:t xml:space="preserve">5  </w:t>
          </w:r>
          <w:r>
            <w:rPr>
              <w:rFonts w:hint="eastAsia" w:ascii="Times New Roman" w:hAnsi="Times New Roman" w:eastAsia="黑体" w:cs="Times New Roman"/>
              <w:bCs/>
              <w:sz w:val="28"/>
              <w:szCs w:val="28"/>
            </w:rPr>
            <w:t>武义县地质灾害防治乡镇（街道）和重点防治村（社区）一览表</w:t>
          </w:r>
        </w:p>
        <w:p>
          <w:pPr>
            <w:spacing w:line="540" w:lineRule="exact"/>
            <w:ind w:firstLine="98" w:firstLineChars="35"/>
            <w:rPr>
              <w:rFonts w:ascii="Times New Roman" w:hAnsi="Times New Roman" w:eastAsia="黑体" w:cs="Times New Roman"/>
              <w:bCs/>
              <w:sz w:val="28"/>
              <w:szCs w:val="28"/>
            </w:rPr>
          </w:pPr>
          <w:r>
            <w:rPr>
              <w:rFonts w:hint="eastAsia" w:ascii="Times New Roman" w:hAnsi="Times New Roman" w:eastAsia="黑体" w:cs="Times New Roman"/>
              <w:bCs/>
              <w:sz w:val="28"/>
              <w:szCs w:val="28"/>
            </w:rPr>
            <w:t>附表</w:t>
          </w:r>
          <w:r>
            <w:rPr>
              <w:rFonts w:ascii="Times New Roman" w:hAnsi="Times New Roman" w:eastAsia="黑体" w:cs="Times New Roman"/>
              <w:bCs/>
              <w:sz w:val="28"/>
              <w:szCs w:val="28"/>
            </w:rPr>
            <w:t xml:space="preserve">6  </w:t>
          </w:r>
          <w:r>
            <w:rPr>
              <w:rFonts w:hint="eastAsia" w:ascii="Times New Roman" w:hAnsi="Times New Roman" w:eastAsia="黑体" w:cs="Times New Roman"/>
              <w:bCs/>
              <w:sz w:val="28"/>
              <w:szCs w:val="28"/>
            </w:rPr>
            <w:t>武义县</w:t>
          </w:r>
          <w:r>
            <w:rPr>
              <w:rFonts w:ascii="Times New Roman" w:hAnsi="Times New Roman" w:eastAsia="黑体" w:cs="Times New Roman"/>
              <w:bCs/>
              <w:sz w:val="28"/>
              <w:szCs w:val="28"/>
            </w:rPr>
            <w:t>“</w:t>
          </w:r>
          <w:r>
            <w:rPr>
              <w:rFonts w:hint="eastAsia" w:ascii="Times New Roman" w:hAnsi="Times New Roman" w:eastAsia="黑体" w:cs="Times New Roman"/>
              <w:bCs/>
              <w:sz w:val="28"/>
              <w:szCs w:val="28"/>
            </w:rPr>
            <w:t>十四五</w:t>
          </w:r>
          <w:r>
            <w:rPr>
              <w:rFonts w:ascii="Times New Roman" w:hAnsi="Times New Roman" w:eastAsia="黑体" w:cs="Times New Roman"/>
              <w:bCs/>
              <w:sz w:val="28"/>
              <w:szCs w:val="28"/>
            </w:rPr>
            <w:t>”</w:t>
          </w:r>
          <w:r>
            <w:rPr>
              <w:rFonts w:hint="eastAsia" w:ascii="Times New Roman" w:hAnsi="Times New Roman" w:eastAsia="黑体" w:cs="Times New Roman"/>
              <w:bCs/>
              <w:sz w:val="28"/>
              <w:szCs w:val="28"/>
            </w:rPr>
            <w:t>地质灾害防治重点工程（项目）一览表</w:t>
          </w:r>
        </w:p>
        <w:p>
          <w:pPr>
            <w:spacing w:line="540" w:lineRule="exact"/>
            <w:ind w:firstLine="98" w:firstLineChars="35"/>
            <w:rPr>
              <w:rFonts w:ascii="Times New Roman" w:hAnsi="Times New Roman" w:eastAsia="黑体" w:cs="Times New Roman"/>
              <w:bCs/>
              <w:sz w:val="28"/>
              <w:szCs w:val="28"/>
            </w:rPr>
          </w:pPr>
          <w:r>
            <w:rPr>
              <w:rFonts w:hint="eastAsia" w:ascii="Times New Roman" w:hAnsi="Times New Roman" w:eastAsia="黑体" w:cs="Times New Roman"/>
              <w:bCs/>
              <w:sz w:val="28"/>
              <w:szCs w:val="28"/>
            </w:rPr>
            <w:t>附</w:t>
          </w:r>
          <w:r>
            <w:rPr>
              <w:rFonts w:ascii="Times New Roman" w:hAnsi="Times New Roman" w:eastAsia="黑体" w:cs="Times New Roman"/>
              <w:bCs/>
              <w:sz w:val="28"/>
              <w:szCs w:val="28"/>
            </w:rPr>
            <w:t xml:space="preserve"> </w:t>
          </w:r>
          <w:r>
            <w:rPr>
              <w:rFonts w:hint="eastAsia" w:ascii="Times New Roman" w:hAnsi="Times New Roman" w:eastAsia="黑体" w:cs="Times New Roman"/>
              <w:bCs/>
              <w:sz w:val="28"/>
              <w:szCs w:val="28"/>
            </w:rPr>
            <w:t>图</w:t>
          </w:r>
        </w:p>
        <w:p>
          <w:pPr>
            <w:spacing w:line="540" w:lineRule="exact"/>
            <w:ind w:firstLine="98" w:firstLineChars="35"/>
            <w:rPr>
              <w:rFonts w:ascii="Times New Roman" w:hAnsi="Times New Roman" w:eastAsia="黑体" w:cs="Times New Roman"/>
              <w:bCs/>
              <w:sz w:val="28"/>
              <w:szCs w:val="28"/>
            </w:rPr>
          </w:pPr>
          <w:r>
            <w:rPr>
              <w:rFonts w:hint="eastAsia" w:ascii="Times New Roman" w:hAnsi="Times New Roman" w:eastAsia="黑体" w:cs="Times New Roman"/>
              <w:bCs/>
              <w:sz w:val="28"/>
              <w:szCs w:val="28"/>
            </w:rPr>
            <w:t>附图</w:t>
          </w:r>
          <w:r>
            <w:rPr>
              <w:rFonts w:ascii="Times New Roman" w:hAnsi="Times New Roman" w:eastAsia="黑体" w:cs="Times New Roman"/>
              <w:bCs/>
              <w:sz w:val="28"/>
              <w:szCs w:val="28"/>
            </w:rPr>
            <w:t xml:space="preserve">1  </w:t>
          </w:r>
          <w:r>
            <w:rPr>
              <w:rFonts w:hint="eastAsia" w:ascii="Times New Roman" w:hAnsi="Times New Roman" w:eastAsia="黑体" w:cs="Times New Roman"/>
              <w:bCs/>
              <w:sz w:val="28"/>
              <w:szCs w:val="28"/>
            </w:rPr>
            <w:t>浙江省武义县地质灾害易发区图</w:t>
          </w:r>
        </w:p>
        <w:p>
          <w:pPr>
            <w:spacing w:line="540" w:lineRule="exact"/>
            <w:ind w:firstLine="98" w:firstLineChars="35"/>
            <w:rPr>
              <w:rFonts w:ascii="Times New Roman" w:hAnsi="Times New Roman" w:eastAsia="黑体" w:cs="Times New Roman"/>
              <w:bCs/>
              <w:sz w:val="28"/>
              <w:szCs w:val="28"/>
            </w:rPr>
          </w:pPr>
          <w:r>
            <w:rPr>
              <w:rFonts w:hint="eastAsia" w:ascii="Times New Roman" w:hAnsi="Times New Roman" w:eastAsia="黑体" w:cs="Times New Roman"/>
              <w:bCs/>
              <w:sz w:val="28"/>
              <w:szCs w:val="28"/>
            </w:rPr>
            <w:t>附图</w:t>
          </w:r>
          <w:r>
            <w:rPr>
              <w:rFonts w:ascii="Times New Roman" w:hAnsi="Times New Roman" w:eastAsia="黑体" w:cs="Times New Roman"/>
              <w:bCs/>
              <w:sz w:val="28"/>
              <w:szCs w:val="28"/>
            </w:rPr>
            <w:t xml:space="preserve">2  </w:t>
          </w:r>
          <w:r>
            <w:rPr>
              <w:rFonts w:hint="eastAsia" w:ascii="Times New Roman" w:hAnsi="Times New Roman" w:eastAsia="黑体" w:cs="Times New Roman"/>
              <w:bCs/>
              <w:sz w:val="28"/>
              <w:szCs w:val="28"/>
            </w:rPr>
            <w:t>浙江省武义县地质灾害重点防治区图</w:t>
          </w:r>
        </w:p>
        <w:p>
          <w:pPr>
            <w:spacing w:line="540" w:lineRule="exact"/>
            <w:ind w:firstLine="98" w:firstLineChars="35"/>
            <w:rPr>
              <w:rFonts w:ascii="Times New Roman" w:hAnsi="Times New Roman" w:eastAsia="黑体" w:cs="Times New Roman"/>
              <w:bCs/>
              <w:sz w:val="28"/>
              <w:szCs w:val="28"/>
            </w:rPr>
          </w:pPr>
          <w:r>
            <w:rPr>
              <w:rFonts w:hint="eastAsia" w:ascii="Times New Roman" w:hAnsi="Times New Roman" w:eastAsia="黑体" w:cs="Times New Roman"/>
              <w:bCs/>
              <w:sz w:val="28"/>
              <w:szCs w:val="28"/>
            </w:rPr>
            <w:t>附图</w:t>
          </w:r>
          <w:r>
            <w:rPr>
              <w:rFonts w:ascii="Times New Roman" w:hAnsi="Times New Roman" w:eastAsia="黑体" w:cs="Times New Roman"/>
              <w:bCs/>
              <w:sz w:val="28"/>
              <w:szCs w:val="28"/>
            </w:rPr>
            <w:t xml:space="preserve">3  </w:t>
          </w:r>
          <w:r>
            <w:rPr>
              <w:rFonts w:hint="eastAsia" w:ascii="Times New Roman" w:hAnsi="Times New Roman" w:eastAsia="黑体" w:cs="Times New Roman"/>
              <w:bCs/>
              <w:sz w:val="28"/>
              <w:szCs w:val="28"/>
            </w:rPr>
            <w:t>浙江省武义县地质灾害风险防范区图</w:t>
          </w:r>
        </w:p>
        <w:p>
          <w:pPr>
            <w:spacing w:line="540" w:lineRule="exact"/>
            <w:ind w:firstLine="98" w:firstLineChars="35"/>
            <w:rPr>
              <w:rFonts w:ascii="Times New Roman" w:hAnsi="Times New Roman" w:eastAsia="黑体" w:cs="Times New Roman"/>
              <w:bCs/>
              <w:sz w:val="28"/>
              <w:szCs w:val="28"/>
            </w:rPr>
          </w:pPr>
          <w:r>
            <w:rPr>
              <w:rFonts w:hint="eastAsia" w:ascii="Times New Roman" w:hAnsi="Times New Roman" w:eastAsia="黑体" w:cs="Times New Roman"/>
              <w:bCs/>
              <w:sz w:val="28"/>
              <w:szCs w:val="28"/>
            </w:rPr>
            <w:t>附图</w:t>
          </w:r>
          <w:r>
            <w:rPr>
              <w:rFonts w:ascii="Times New Roman" w:hAnsi="Times New Roman" w:eastAsia="黑体" w:cs="Times New Roman"/>
              <w:bCs/>
              <w:sz w:val="28"/>
              <w:szCs w:val="28"/>
            </w:rPr>
            <w:t xml:space="preserve">4  </w:t>
          </w:r>
          <w:r>
            <w:rPr>
              <w:rFonts w:hint="eastAsia" w:ascii="Times New Roman" w:hAnsi="Times New Roman" w:eastAsia="黑体" w:cs="Times New Roman"/>
              <w:bCs/>
              <w:sz w:val="28"/>
              <w:szCs w:val="28"/>
            </w:rPr>
            <w:t>浙江省武义县地质灾害防治重点工程部署图</w:t>
          </w:r>
        </w:p>
        <w:p>
          <w:pPr>
            <w:pStyle w:val="22"/>
            <w:snapToGrid w:val="0"/>
            <w:spacing w:before="0" w:beforeAutospacing="0" w:after="0" w:afterAutospacing="0" w:line="360" w:lineRule="auto"/>
            <w:jc w:val="both"/>
            <w:rPr>
              <w:rFonts w:ascii="Times New Roman" w:hAnsi="Times New Roman" w:eastAsia="仿宋"/>
              <w:szCs w:val="24"/>
            </w:rPr>
          </w:pPr>
        </w:p>
      </w:sdtContent>
    </w:sdt>
    <w:p>
      <w:pPr>
        <w:pStyle w:val="2"/>
        <w:spacing w:before="0" w:after="0" w:line="560" w:lineRule="exact"/>
        <w:jc w:val="center"/>
        <w:rPr>
          <w:rFonts w:ascii="Times New Roman" w:hAnsi="Times New Roman" w:eastAsia="仿宋" w:cs="黑体"/>
          <w:sz w:val="32"/>
          <w:szCs w:val="32"/>
        </w:rPr>
        <w:sectPr>
          <w:footerReference r:id="rId3" w:type="default"/>
          <w:pgSz w:w="11906" w:h="16838"/>
          <w:pgMar w:top="1440" w:right="1800" w:bottom="1440" w:left="1800" w:header="851" w:footer="992" w:gutter="0"/>
          <w:cols w:space="425" w:num="1"/>
          <w:docGrid w:type="lines" w:linePitch="312" w:charSpace="0"/>
        </w:sectPr>
      </w:pPr>
    </w:p>
    <w:p>
      <w:pPr>
        <w:pStyle w:val="2"/>
        <w:spacing w:line="600" w:lineRule="exact"/>
        <w:ind w:left="643" w:hanging="643" w:hangingChars="200"/>
        <w:rPr>
          <w:rFonts w:ascii="Times New Roman" w:hAnsi="Times New Roman" w:eastAsia="黑体"/>
          <w:sz w:val="32"/>
          <w:szCs w:val="32"/>
        </w:rPr>
      </w:pPr>
      <w:bookmarkStart w:id="0" w:name="_Toc74663414"/>
      <w:r>
        <w:rPr>
          <w:rFonts w:hint="eastAsia" w:ascii="Times New Roman" w:hAnsi="Times New Roman" w:eastAsia="黑体"/>
          <w:sz w:val="32"/>
          <w:szCs w:val="32"/>
        </w:rPr>
        <w:t>一、总</w:t>
      </w:r>
      <w:r>
        <w:rPr>
          <w:rFonts w:ascii="Times New Roman" w:hAnsi="Times New Roman" w:eastAsia="黑体"/>
          <w:sz w:val="32"/>
          <w:szCs w:val="32"/>
        </w:rPr>
        <w:t xml:space="preserve"> </w:t>
      </w:r>
      <w:r>
        <w:rPr>
          <w:rFonts w:hint="eastAsia" w:ascii="Times New Roman" w:hAnsi="Times New Roman" w:eastAsia="黑体"/>
          <w:sz w:val="32"/>
          <w:szCs w:val="32"/>
        </w:rPr>
        <w:t>则</w:t>
      </w:r>
      <w:bookmarkEnd w:id="0"/>
    </w:p>
    <w:p>
      <w:pPr>
        <w:spacing w:line="600" w:lineRule="exact"/>
        <w:ind w:firstLine="614" w:firstLineChars="192"/>
        <w:rPr>
          <w:rFonts w:ascii="Times New Roman" w:hAnsi="Times New Roman" w:eastAsia="仿宋_GB2312" w:cs="Times New Roman"/>
          <w:sz w:val="32"/>
          <w:szCs w:val="32"/>
        </w:rPr>
      </w:pP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rPr>
        <w:t>时期是我县高水平全面建成小康社会之后，开启高水平现代化新征程、打造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重要窗口</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、推动跨越式发展的第一个五年。为全面提高地质灾害防治水平，着力提升地质灾害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整体智治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能力，把握不死人、少伤人、少损失的工作目标，在总结分析</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地质灾害防治工作的基础上，以《地质灾害防治条例》、《浙江省地质灾害防治条例》、《浙江省自然资源厅关于全面开展地质灾害防治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规划编制工作的通知》（浙自然资厅函</w:t>
      </w:r>
      <w:r>
        <w:rPr>
          <w:rFonts w:ascii="Times New Roman" w:hAnsi="Times New Roman" w:eastAsia="仿宋_GB2312" w:cs="Times New Roman"/>
          <w:sz w:val="32"/>
          <w:szCs w:val="32"/>
        </w:rPr>
        <w:t>[2020]592</w:t>
      </w:r>
      <w:r>
        <w:rPr>
          <w:rFonts w:hint="eastAsia" w:ascii="Times New Roman" w:hAnsi="Times New Roman" w:eastAsia="仿宋_GB2312" w:cs="Times New Roman"/>
          <w:sz w:val="32"/>
          <w:szCs w:val="32"/>
        </w:rPr>
        <w:t>号）、《武义县地质灾害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整体智治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三年行动方案</w:t>
      </w:r>
      <w:r>
        <w:rPr>
          <w:rFonts w:ascii="Times New Roman" w:hAnsi="Times New Roman" w:eastAsia="仿宋_GB2312" w:cs="Times New Roman"/>
          <w:sz w:val="32"/>
          <w:szCs w:val="32"/>
        </w:rPr>
        <w:t>(2020-2022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》和《武义县国民经济和社会发展第十四个五年规划纲要》等法律法规及相关文件为依据，按照《浙江省市县级地质灾害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规划编制指南》要求，制定《浙江省武义县地质灾害防治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规划》（以下简称《规划》）。</w:t>
      </w:r>
    </w:p>
    <w:p>
      <w:pPr>
        <w:spacing w:line="600" w:lineRule="exact"/>
        <w:ind w:firstLine="614" w:firstLineChars="19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地质灾害包括自然因素或人为活动引发的危害人民财产安全的山体崩塌、滑坡、泥石流、地面塌陷、地面沉降等与地质作用有关的灾害。</w:t>
      </w:r>
    </w:p>
    <w:p>
      <w:pPr>
        <w:spacing w:line="600" w:lineRule="exact"/>
        <w:ind w:firstLine="614" w:firstLineChars="19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本规划是武义县</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规划体系的专项规划之一，是规范本行政区地质灾害防治工作的纲领性文件，是依法开展和监督地质灾害防治工作的重要依据。</w:t>
      </w:r>
    </w:p>
    <w:p>
      <w:pPr>
        <w:spacing w:line="600" w:lineRule="exact"/>
        <w:ind w:firstLine="614" w:firstLineChars="19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《规划》适用于武义县所辖行政区域范围。</w:t>
      </w:r>
    </w:p>
    <w:p>
      <w:pPr>
        <w:spacing w:line="600" w:lineRule="exact"/>
        <w:ind w:firstLine="614" w:firstLineChars="19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《规划》基准年：</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年；适用期限：</w:t>
      </w:r>
      <w:r>
        <w:rPr>
          <w:rFonts w:ascii="Times New Roman" w:hAnsi="Times New Roman" w:eastAsia="仿宋_GB2312" w:cs="Times New Roman"/>
          <w:sz w:val="32"/>
          <w:szCs w:val="32"/>
        </w:rPr>
        <w:t>2021-2025</w:t>
      </w:r>
      <w:r>
        <w:rPr>
          <w:rFonts w:hint="eastAsia" w:ascii="Times New Roman" w:hAnsi="Times New Roman" w:eastAsia="仿宋_GB2312" w:cs="Times New Roman"/>
          <w:sz w:val="32"/>
          <w:szCs w:val="32"/>
        </w:rPr>
        <w:t>年。</w:t>
      </w:r>
    </w:p>
    <w:p>
      <w:pPr>
        <w:widowControl/>
        <w:spacing w:line="600" w:lineRule="exact"/>
        <w:ind w:firstLine="640" w:firstLineChars="200"/>
        <w:jc w:val="left"/>
        <w:rPr>
          <w:rFonts w:ascii="Times New Roman" w:hAnsi="Times New Roman" w:eastAsia="黑体" w:cs="黑体"/>
          <w:sz w:val="32"/>
          <w:szCs w:val="32"/>
        </w:rPr>
      </w:pPr>
      <w:r>
        <w:rPr>
          <w:rFonts w:ascii="Times New Roman" w:hAnsi="Times New Roman" w:eastAsia="仿宋" w:cs="黑体"/>
          <w:sz w:val="32"/>
          <w:szCs w:val="32"/>
        </w:rPr>
        <w:br w:type="page"/>
      </w:r>
      <w:bookmarkStart w:id="1" w:name="_Toc74663415"/>
      <w:r>
        <w:rPr>
          <w:rFonts w:hint="eastAsia" w:ascii="Times New Roman" w:hAnsi="Times New Roman" w:eastAsia="黑体" w:cs="黑体"/>
          <w:sz w:val="32"/>
          <w:szCs w:val="32"/>
        </w:rPr>
        <w:t>二、现状与形势</w:t>
      </w:r>
      <w:bookmarkEnd w:id="1"/>
    </w:p>
    <w:p>
      <w:pPr>
        <w:pStyle w:val="11"/>
        <w:spacing w:before="0" w:after="0" w:line="600" w:lineRule="exact"/>
        <w:ind w:firstLine="643" w:firstLineChars="200"/>
        <w:jc w:val="left"/>
        <w:rPr>
          <w:rFonts w:ascii="Times New Roman" w:hAnsi="Times New Roman" w:eastAsia="楷体_GB2312" w:cs="仿宋_GB2312"/>
        </w:rPr>
      </w:pPr>
      <w:bookmarkStart w:id="2" w:name="_Toc74663416"/>
      <w:r>
        <w:rPr>
          <w:rFonts w:hint="eastAsia" w:ascii="Times New Roman" w:hAnsi="Times New Roman" w:eastAsia="楷体_GB2312" w:cs="仿宋_GB2312"/>
        </w:rPr>
        <w:t>（一）经济社会发展概况</w:t>
      </w:r>
      <w:bookmarkEnd w:id="2"/>
    </w:p>
    <w:p>
      <w:pPr>
        <w:pStyle w:val="5"/>
        <w:spacing w:after="0" w:line="600" w:lineRule="exact"/>
        <w:ind w:firstLine="640" w:firstLineChars="200"/>
        <w:rPr>
          <w:rFonts w:eastAsia="仿宋_GB2312" w:cs="仿宋_GB2312"/>
          <w:sz w:val="32"/>
          <w:szCs w:val="32"/>
        </w:rPr>
      </w:pPr>
      <w:r>
        <w:rPr>
          <w:rFonts w:hint="eastAsia" w:eastAsia="仿宋_GB2312" w:cs="仿宋_GB2312"/>
          <w:sz w:val="32"/>
          <w:szCs w:val="32"/>
        </w:rPr>
        <w:t>武义县位于浙江省中部，县域总面积</w:t>
      </w:r>
      <w:r>
        <w:rPr>
          <w:rFonts w:eastAsia="仿宋_GB2312" w:cs="仿宋_GB2312"/>
          <w:sz w:val="32"/>
          <w:szCs w:val="32"/>
        </w:rPr>
        <w:t>1583</w:t>
      </w:r>
      <w:r>
        <w:rPr>
          <w:rFonts w:hint="eastAsia" w:eastAsia="仿宋_GB2312" w:cs="仿宋_GB2312"/>
          <w:sz w:val="32"/>
          <w:szCs w:val="32"/>
        </w:rPr>
        <w:t>平方千米，全县常住人口约</w:t>
      </w:r>
      <w:r>
        <w:rPr>
          <w:rFonts w:eastAsia="仿宋_GB2312" w:cs="仿宋_GB2312"/>
          <w:sz w:val="32"/>
          <w:szCs w:val="32"/>
        </w:rPr>
        <w:t>46.2</w:t>
      </w:r>
      <w:r>
        <w:rPr>
          <w:rFonts w:hint="eastAsia" w:eastAsia="仿宋_GB2312" w:cs="仿宋_GB2312"/>
          <w:sz w:val="32"/>
          <w:szCs w:val="32"/>
        </w:rPr>
        <w:t>万人，下辖</w:t>
      </w:r>
      <w:r>
        <w:rPr>
          <w:rFonts w:eastAsia="仿宋_GB2312" w:cs="仿宋_GB2312"/>
          <w:sz w:val="32"/>
          <w:szCs w:val="32"/>
        </w:rPr>
        <w:t>8</w:t>
      </w:r>
      <w:r>
        <w:rPr>
          <w:rFonts w:hint="eastAsia" w:eastAsia="仿宋_GB2312" w:cs="仿宋_GB2312"/>
          <w:sz w:val="32"/>
          <w:szCs w:val="32"/>
        </w:rPr>
        <w:t>个建制镇、</w:t>
      </w:r>
      <w:r>
        <w:rPr>
          <w:rFonts w:eastAsia="仿宋_GB2312" w:cs="仿宋_GB2312"/>
          <w:sz w:val="32"/>
          <w:szCs w:val="32"/>
        </w:rPr>
        <w:t>7</w:t>
      </w:r>
      <w:r>
        <w:rPr>
          <w:rFonts w:hint="eastAsia" w:eastAsia="仿宋_GB2312" w:cs="仿宋_GB2312"/>
          <w:sz w:val="32"/>
          <w:szCs w:val="32"/>
        </w:rPr>
        <w:t>个乡、</w:t>
      </w:r>
      <w:r>
        <w:rPr>
          <w:rFonts w:eastAsia="仿宋_GB2312" w:cs="仿宋_GB2312"/>
          <w:sz w:val="32"/>
          <w:szCs w:val="32"/>
        </w:rPr>
        <w:t>3</w:t>
      </w:r>
      <w:r>
        <w:rPr>
          <w:rFonts w:hint="eastAsia" w:eastAsia="仿宋_GB2312" w:cs="仿宋_GB2312"/>
          <w:sz w:val="32"/>
          <w:szCs w:val="32"/>
        </w:rPr>
        <w:t>个街道。</w:t>
      </w:r>
    </w:p>
    <w:p>
      <w:pPr>
        <w:spacing w:line="600" w:lineRule="exact"/>
        <w:ind w:firstLine="640" w:firstLineChars="200"/>
        <w:rPr>
          <w:rFonts w:ascii="Times New Roman" w:hAnsi="Times New Roman" w:eastAsia="仿宋_GB2312" w:cs="仿宋_GB2312"/>
          <w:color w:val="00B0F0"/>
          <w:sz w:val="32"/>
          <w:szCs w:val="32"/>
        </w:rPr>
      </w:pPr>
      <w:r>
        <w:rPr>
          <w:rFonts w:hint="eastAsia" w:ascii="Times New Roman" w:hAnsi="Times New Roman" w:eastAsia="仿宋_GB2312" w:cs="仿宋_GB2312"/>
          <w:sz w:val="32"/>
          <w:szCs w:val="32"/>
        </w:rPr>
        <w:t>“十三五”以来，我县坚持以“生态发展、绿色崛起”为主线，围绕“打造中国温泉名城、构建东方养生胜地”总体目标，深入实施“生态立县、工业强县、文旅富县、科创兴县”发展战略，全力打造“信息智造高地、健康休闲宝地、文化时尚名地、生态宜居福地”。“十三五”时期我县地质灾害工作实现无人员伤亡，为创成省级全域旅游示范县、国家体育产业示范基地，成为全国首批“美丽中国·康养名城”打下坚实基础。</w:t>
      </w:r>
    </w:p>
    <w:p>
      <w:pPr>
        <w:pStyle w:val="11"/>
        <w:spacing w:before="0" w:after="0" w:line="600" w:lineRule="exact"/>
        <w:ind w:firstLine="643" w:firstLineChars="200"/>
        <w:jc w:val="left"/>
        <w:rPr>
          <w:rFonts w:ascii="Times New Roman" w:hAnsi="Times New Roman" w:eastAsia="楷体_GB2312" w:cs="仿宋_GB2312"/>
        </w:rPr>
      </w:pPr>
      <w:bookmarkStart w:id="3" w:name="_Toc74663417"/>
      <w:r>
        <w:rPr>
          <w:rFonts w:hint="eastAsia" w:ascii="Times New Roman" w:hAnsi="Times New Roman" w:eastAsia="楷体_GB2312" w:cs="仿宋_GB2312"/>
        </w:rPr>
        <w:t>（二）地质灾害概况</w:t>
      </w:r>
      <w:bookmarkEnd w:id="3"/>
    </w:p>
    <w:p>
      <w:pPr>
        <w:spacing w:line="600" w:lineRule="exact"/>
        <w:ind w:firstLine="640" w:firstLineChars="200"/>
        <w:rPr>
          <w:rFonts w:ascii="Times New Roman" w:hAnsi="Times New Roman" w:eastAsia="仿宋" w:cs="仿宋_GB2312"/>
          <w:sz w:val="28"/>
          <w:szCs w:val="28"/>
        </w:rPr>
      </w:pPr>
      <w:r>
        <w:rPr>
          <w:rFonts w:hint="eastAsia" w:ascii="Times New Roman" w:hAnsi="Times New Roman" w:eastAsia="仿宋_GB2312" w:cs="仿宋_GB2312"/>
          <w:sz w:val="32"/>
          <w:szCs w:val="32"/>
        </w:rPr>
        <w:t>武义县属中亚热带季风气候，近</w:t>
      </w:r>
      <w:r>
        <w:rPr>
          <w:rFonts w:ascii="Times New Roman" w:hAnsi="Times New Roman" w:eastAsia="仿宋_GB2312" w:cs="仿宋_GB2312"/>
          <w:sz w:val="32"/>
          <w:szCs w:val="32"/>
        </w:rPr>
        <w:t>30</w:t>
      </w:r>
      <w:r>
        <w:rPr>
          <w:rFonts w:hint="eastAsia" w:ascii="Times New Roman" w:hAnsi="Times New Roman" w:eastAsia="仿宋_GB2312" w:cs="仿宋_GB2312"/>
          <w:sz w:val="32"/>
          <w:szCs w:val="32"/>
        </w:rPr>
        <w:t>年</w:t>
      </w:r>
      <w:r>
        <w:rPr>
          <w:rFonts w:ascii="Times New Roman" w:hAnsi="Times New Roman" w:eastAsia="仿宋_GB2312" w:cs="仿宋_GB2312"/>
          <w:sz w:val="32"/>
          <w:szCs w:val="32"/>
        </w:rPr>
        <w:t>平均气温17.3℃，年降水量1520.4毫米，</w:t>
      </w:r>
      <w:r>
        <w:rPr>
          <w:rFonts w:hint="eastAsia" w:ascii="Times New Roman" w:hAnsi="Times New Roman" w:eastAsia="仿宋_GB2312" w:cs="仿宋_GB2312"/>
          <w:sz w:val="32"/>
          <w:szCs w:val="32"/>
        </w:rPr>
        <w:t>境内以樊岭</w:t>
      </w:r>
      <w:r>
        <w:rPr>
          <w:rFonts w:ascii="Times New Roman" w:hAnsi="Times New Roman" w:eastAsia="仿宋_GB2312" w:cs="仿宋_GB2312"/>
          <w:sz w:val="32"/>
          <w:szCs w:val="32"/>
        </w:rPr>
        <w:t>-大莱近东西向隆起为分水岭，其北部属钱塘江水系，南部为瓯江水系</w:t>
      </w:r>
      <w:r>
        <w:rPr>
          <w:rFonts w:hint="eastAsia" w:ascii="Times New Roman" w:hAnsi="Times New Roman" w:eastAsia="仿宋_GB2312" w:cs="仿宋_GB2312"/>
          <w:sz w:val="32"/>
          <w:szCs w:val="32"/>
        </w:rPr>
        <w:t>。地貌上武义县是浙中典型的山区县，地势略向东北倾斜，呈“八山半水分半田”的地理格局。地质上武义县主要出露</w:t>
      </w:r>
      <w:r>
        <w:rPr>
          <w:rFonts w:ascii="Times New Roman" w:hAnsi="Times New Roman" w:eastAsia="仿宋_GB2312" w:cs="仿宋_GB2312"/>
          <w:sz w:val="32"/>
          <w:szCs w:val="32"/>
        </w:rPr>
        <w:t>地层有新生代第四系和前第四纪地层--中生界白垩系</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另有酸性、 中酸性岩体或岩脉为主的岩浆侵入活动</w:t>
      </w:r>
      <w:r>
        <w:rPr>
          <w:rFonts w:hint="eastAsia" w:ascii="Times New Roman" w:hAnsi="Times New Roman" w:eastAsia="仿宋_GB2312" w:cs="仿宋_GB2312"/>
          <w:sz w:val="32"/>
          <w:szCs w:val="32"/>
        </w:rPr>
        <w:t>。其中萤石、地热资源丰富，素有“萤石之乡、温泉之城”的美誉</w:t>
      </w:r>
      <w:r>
        <w:rPr>
          <w:rFonts w:ascii="Times New Roman" w:hAnsi="Times New Roman" w:eastAsia="仿宋_GB2312" w:cs="仿宋_GB2312"/>
          <w:sz w:val="32"/>
          <w:szCs w:val="32"/>
        </w:rPr>
        <w:t>。</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“十三五”初期，我县有各类地质灾害隐患点</w:t>
      </w:r>
      <w:r>
        <w:rPr>
          <w:rFonts w:ascii="Times New Roman" w:hAnsi="Times New Roman" w:eastAsia="仿宋_GB2312" w:cs="仿宋_GB2312"/>
          <w:sz w:val="32"/>
          <w:szCs w:val="32"/>
        </w:rPr>
        <w:t>72</w:t>
      </w:r>
      <w:r>
        <w:rPr>
          <w:rFonts w:hint="eastAsia" w:ascii="Times New Roman" w:hAnsi="Times New Roman" w:eastAsia="仿宋_GB2312" w:cs="仿宋_GB2312"/>
          <w:sz w:val="32"/>
          <w:szCs w:val="32"/>
        </w:rPr>
        <w:t>处，其中滑坡</w:t>
      </w:r>
      <w:r>
        <w:rPr>
          <w:rFonts w:ascii="Times New Roman" w:hAnsi="Times New Roman" w:eastAsia="仿宋_GB2312" w:cs="仿宋_GB2312"/>
          <w:sz w:val="32"/>
          <w:szCs w:val="32"/>
        </w:rPr>
        <w:t>40</w:t>
      </w:r>
      <w:r>
        <w:rPr>
          <w:rFonts w:hint="eastAsia" w:ascii="Times New Roman" w:hAnsi="Times New Roman" w:eastAsia="仿宋_GB2312" w:cs="仿宋_GB2312"/>
          <w:sz w:val="32"/>
          <w:szCs w:val="32"/>
        </w:rPr>
        <w:t>处、崩塌</w:t>
      </w:r>
      <w:r>
        <w:rPr>
          <w:rFonts w:ascii="Times New Roman" w:hAnsi="Times New Roman" w:eastAsia="仿宋_GB2312" w:cs="仿宋_GB2312"/>
          <w:sz w:val="32"/>
          <w:szCs w:val="32"/>
        </w:rPr>
        <w:t>14</w:t>
      </w:r>
      <w:r>
        <w:rPr>
          <w:rFonts w:hint="eastAsia" w:ascii="Times New Roman" w:hAnsi="Times New Roman" w:eastAsia="仿宋_GB2312" w:cs="仿宋_GB2312"/>
          <w:sz w:val="32"/>
          <w:szCs w:val="32"/>
        </w:rPr>
        <w:t>处、泥石流</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处、地面塌陷</w:t>
      </w:r>
      <w:r>
        <w:rPr>
          <w:rFonts w:ascii="Times New Roman" w:hAnsi="Times New Roman" w:eastAsia="仿宋_GB2312" w:cs="仿宋_GB2312"/>
          <w:sz w:val="32"/>
          <w:szCs w:val="32"/>
        </w:rPr>
        <w:t>13</w:t>
      </w:r>
      <w:r>
        <w:rPr>
          <w:rFonts w:hint="eastAsia" w:ascii="Times New Roman" w:hAnsi="Times New Roman" w:eastAsia="仿宋_GB2312" w:cs="仿宋_GB2312"/>
          <w:sz w:val="32"/>
          <w:szCs w:val="32"/>
        </w:rPr>
        <w:t>处，受威胁人数</w:t>
      </w:r>
      <w:r>
        <w:rPr>
          <w:rFonts w:ascii="Times New Roman" w:hAnsi="Times New Roman" w:eastAsia="仿宋_GB2312" w:cs="仿宋_GB2312"/>
          <w:sz w:val="32"/>
          <w:szCs w:val="32"/>
        </w:rPr>
        <w:t>1759</w:t>
      </w:r>
      <w:r>
        <w:rPr>
          <w:rFonts w:hint="eastAsia" w:ascii="Times New Roman" w:hAnsi="Times New Roman" w:eastAsia="仿宋_GB2312" w:cs="仿宋_GB2312"/>
          <w:sz w:val="32"/>
          <w:szCs w:val="32"/>
        </w:rPr>
        <w:t>人，受威胁财产约</w:t>
      </w:r>
      <w:r>
        <w:rPr>
          <w:rFonts w:ascii="Times New Roman" w:hAnsi="Times New Roman" w:eastAsia="仿宋_GB2312" w:cs="仿宋_GB2312"/>
          <w:sz w:val="32"/>
          <w:szCs w:val="32"/>
        </w:rPr>
        <w:t>9006.4</w:t>
      </w:r>
      <w:r>
        <w:rPr>
          <w:rFonts w:hint="eastAsia" w:ascii="Times New Roman" w:hAnsi="Times New Roman" w:eastAsia="仿宋_GB2312" w:cs="仿宋_GB2312"/>
          <w:sz w:val="32"/>
          <w:szCs w:val="32"/>
        </w:rPr>
        <w:t>万元。“十三五”期间新增地质灾害隐患点</w:t>
      </w:r>
      <w:r>
        <w:rPr>
          <w:rFonts w:ascii="Times New Roman" w:hAnsi="Times New Roman" w:eastAsia="仿宋_GB2312" w:cs="仿宋_GB2312"/>
          <w:sz w:val="32"/>
          <w:szCs w:val="32"/>
        </w:rPr>
        <w:t>7</w:t>
      </w:r>
      <w:r>
        <w:rPr>
          <w:rFonts w:hint="eastAsia" w:ascii="Times New Roman" w:hAnsi="Times New Roman" w:eastAsia="仿宋_GB2312" w:cs="仿宋_GB2312"/>
          <w:sz w:val="32"/>
          <w:szCs w:val="32"/>
        </w:rPr>
        <w:t>处，新增威胁对象人数</w:t>
      </w:r>
      <w:r>
        <w:rPr>
          <w:rFonts w:ascii="Times New Roman" w:hAnsi="Times New Roman" w:eastAsia="仿宋_GB2312" w:cs="仿宋_GB2312"/>
          <w:sz w:val="32"/>
          <w:szCs w:val="32"/>
        </w:rPr>
        <w:t>68</w:t>
      </w:r>
      <w:r>
        <w:rPr>
          <w:rFonts w:hint="eastAsia" w:ascii="Times New Roman" w:hAnsi="Times New Roman" w:eastAsia="仿宋_GB2312" w:cs="仿宋_GB2312"/>
          <w:sz w:val="32"/>
          <w:szCs w:val="32"/>
        </w:rPr>
        <w:t>人，威胁财产</w:t>
      </w:r>
      <w:r>
        <w:rPr>
          <w:rFonts w:ascii="Times New Roman" w:hAnsi="Times New Roman" w:eastAsia="仿宋_GB2312" w:cs="仿宋_GB2312"/>
          <w:sz w:val="32"/>
          <w:szCs w:val="32"/>
        </w:rPr>
        <w:t>320</w:t>
      </w:r>
      <w:r>
        <w:rPr>
          <w:rFonts w:hint="eastAsia" w:ascii="Times New Roman" w:hAnsi="Times New Roman" w:eastAsia="仿宋_GB2312" w:cs="仿宋_GB2312"/>
          <w:sz w:val="32"/>
          <w:szCs w:val="32"/>
        </w:rPr>
        <w:t>万元，通过应急排险、勘查治理、避让搬迁等防治工程的实施，核销地质灾害隐患点</w:t>
      </w:r>
      <w:r>
        <w:rPr>
          <w:rFonts w:ascii="Times New Roman" w:hAnsi="Times New Roman" w:eastAsia="仿宋_GB2312" w:cs="仿宋_GB2312"/>
          <w:sz w:val="32"/>
          <w:szCs w:val="32"/>
        </w:rPr>
        <w:t>64</w:t>
      </w:r>
      <w:r>
        <w:rPr>
          <w:rFonts w:hint="eastAsia" w:ascii="Times New Roman" w:hAnsi="Times New Roman" w:eastAsia="仿宋_GB2312" w:cs="仿宋_GB2312"/>
          <w:sz w:val="32"/>
          <w:szCs w:val="32"/>
        </w:rPr>
        <w:t>处。截止</w:t>
      </w:r>
      <w:r>
        <w:rPr>
          <w:rFonts w:ascii="Times New Roman" w:hAnsi="Times New Roman" w:eastAsia="仿宋_GB2312" w:cs="仿宋_GB2312"/>
          <w:sz w:val="32"/>
          <w:szCs w:val="32"/>
        </w:rPr>
        <w:t>2020</w:t>
      </w:r>
      <w:r>
        <w:rPr>
          <w:rFonts w:hint="eastAsia" w:ascii="Times New Roman" w:hAnsi="Times New Roman" w:eastAsia="仿宋_GB2312" w:cs="仿宋_GB2312"/>
          <w:sz w:val="32"/>
          <w:szCs w:val="32"/>
        </w:rPr>
        <w:t>年底，全县尚有地质灾害隐患点</w:t>
      </w:r>
      <w:r>
        <w:rPr>
          <w:rFonts w:ascii="Times New Roman" w:hAnsi="Times New Roman" w:eastAsia="仿宋_GB2312" w:cs="仿宋_GB2312"/>
          <w:sz w:val="32"/>
          <w:szCs w:val="32"/>
        </w:rPr>
        <w:t>15</w:t>
      </w:r>
      <w:r>
        <w:rPr>
          <w:rFonts w:hint="eastAsia" w:ascii="Times New Roman" w:hAnsi="Times New Roman" w:eastAsia="仿宋_GB2312" w:cs="仿宋_GB2312"/>
          <w:sz w:val="32"/>
          <w:szCs w:val="32"/>
        </w:rPr>
        <w:t>处，其中滑坡</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处，崩塌</w:t>
      </w:r>
      <w:r>
        <w:rPr>
          <w:rFonts w:ascii="Times New Roman" w:hAnsi="Times New Roman" w:eastAsia="仿宋_GB2312" w:cs="仿宋_GB2312"/>
          <w:sz w:val="32"/>
          <w:szCs w:val="32"/>
        </w:rPr>
        <w:t>2</w:t>
      </w:r>
      <w:r>
        <w:rPr>
          <w:rFonts w:hint="eastAsia" w:ascii="Times New Roman" w:hAnsi="Times New Roman" w:eastAsia="仿宋_GB2312" w:cs="仿宋_GB2312"/>
          <w:sz w:val="32"/>
          <w:szCs w:val="32"/>
        </w:rPr>
        <w:t>处，地面塌陷</w:t>
      </w:r>
      <w:r>
        <w:rPr>
          <w:rFonts w:ascii="Times New Roman" w:hAnsi="Times New Roman" w:eastAsia="仿宋_GB2312" w:cs="仿宋_GB2312"/>
          <w:sz w:val="32"/>
          <w:szCs w:val="32"/>
        </w:rPr>
        <w:t>11</w:t>
      </w:r>
      <w:r>
        <w:rPr>
          <w:rFonts w:hint="eastAsia" w:ascii="Times New Roman" w:hAnsi="Times New Roman" w:eastAsia="仿宋_GB2312" w:cs="仿宋_GB2312"/>
          <w:sz w:val="32"/>
          <w:szCs w:val="32"/>
        </w:rPr>
        <w:t>处，除</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处大型滑坡和</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处中型地面塌陷外，其余规模均为小型，威胁人口</w:t>
      </w:r>
      <w:r>
        <w:rPr>
          <w:rFonts w:ascii="Times New Roman" w:hAnsi="Times New Roman" w:eastAsia="仿宋_GB2312" w:cs="仿宋_GB2312"/>
          <w:sz w:val="32"/>
          <w:szCs w:val="32"/>
        </w:rPr>
        <w:t>0</w:t>
      </w:r>
      <w:r>
        <w:rPr>
          <w:rFonts w:hint="eastAsia" w:ascii="Times New Roman" w:hAnsi="Times New Roman" w:eastAsia="仿宋_GB2312" w:cs="仿宋_GB2312"/>
          <w:sz w:val="32"/>
          <w:szCs w:val="32"/>
        </w:rPr>
        <w:t>人，威胁财产</w:t>
      </w:r>
      <w:r>
        <w:rPr>
          <w:rFonts w:ascii="Times New Roman" w:hAnsi="Times New Roman" w:eastAsia="仿宋_GB2312" w:cs="仿宋_GB2312"/>
          <w:sz w:val="32"/>
          <w:szCs w:val="32"/>
        </w:rPr>
        <w:t>1310</w:t>
      </w:r>
      <w:r>
        <w:rPr>
          <w:rFonts w:hint="eastAsia" w:ascii="Times New Roman" w:hAnsi="Times New Roman" w:eastAsia="仿宋_GB2312" w:cs="仿宋_GB2312"/>
          <w:sz w:val="32"/>
          <w:szCs w:val="32"/>
        </w:rPr>
        <w:t>万元。各类地质灾害的形成与地形地貌、地层岩性等地质环境条件关系密切，多为修路、切坡建房、采矿等人类工程活动引发，降雨则是最直接的诱发原因。隐患数量与“十三五”初期相比，明显下降。</w:t>
      </w:r>
    </w:p>
    <w:p>
      <w:pPr>
        <w:spacing w:line="600" w:lineRule="exact"/>
        <w:ind w:firstLine="640" w:firstLineChars="200"/>
        <w:rPr>
          <w:rFonts w:ascii="Times New Roman" w:hAnsi="Times New Roman" w:eastAsia="仿宋" w:cs="仿宋_GB2312"/>
          <w:color w:val="FF0000"/>
          <w:sz w:val="28"/>
          <w:szCs w:val="28"/>
        </w:rPr>
      </w:pPr>
      <w:r>
        <w:rPr>
          <w:rFonts w:hint="eastAsia" w:ascii="Times New Roman" w:hAnsi="Times New Roman" w:eastAsia="仿宋_GB2312" w:cs="仿宋_GB2312"/>
          <w:sz w:val="32"/>
          <w:szCs w:val="32"/>
        </w:rPr>
        <w:t>根据地质灾害风险“一张图”清单，全县有地质灾害风险防范区</w:t>
      </w:r>
      <w:r>
        <w:rPr>
          <w:rFonts w:ascii="Times New Roman" w:hAnsi="Times New Roman" w:eastAsia="仿宋_GB2312" w:cs="仿宋_GB2312"/>
          <w:sz w:val="32"/>
          <w:szCs w:val="32"/>
        </w:rPr>
        <w:t>185</w:t>
      </w:r>
      <w:r>
        <w:rPr>
          <w:rFonts w:hint="eastAsia" w:ascii="Times New Roman" w:hAnsi="Times New Roman" w:eastAsia="仿宋_GB2312" w:cs="仿宋_GB2312"/>
          <w:sz w:val="32"/>
          <w:szCs w:val="32"/>
        </w:rPr>
        <w:t>处，受影响人数</w:t>
      </w:r>
      <w:r>
        <w:rPr>
          <w:rFonts w:ascii="Times New Roman" w:hAnsi="Times New Roman" w:eastAsia="仿宋_GB2312" w:cs="仿宋_GB2312"/>
          <w:sz w:val="32"/>
          <w:szCs w:val="32"/>
        </w:rPr>
        <w:t>498</w:t>
      </w:r>
      <w:r>
        <w:rPr>
          <w:rFonts w:hint="eastAsia" w:ascii="Times New Roman" w:hAnsi="Times New Roman" w:eastAsia="仿宋_GB2312" w:cs="仿宋_GB2312"/>
          <w:sz w:val="32"/>
          <w:szCs w:val="32"/>
        </w:rPr>
        <w:t>户</w:t>
      </w:r>
      <w:r>
        <w:rPr>
          <w:rFonts w:ascii="Times New Roman" w:hAnsi="Times New Roman" w:eastAsia="仿宋_GB2312" w:cs="仿宋_GB2312"/>
          <w:sz w:val="32"/>
          <w:szCs w:val="32"/>
        </w:rPr>
        <w:t>1344</w:t>
      </w:r>
      <w:r>
        <w:rPr>
          <w:rFonts w:hint="eastAsia" w:ascii="Times New Roman" w:hAnsi="Times New Roman" w:eastAsia="仿宋_GB2312" w:cs="仿宋_GB2312"/>
          <w:sz w:val="32"/>
          <w:szCs w:val="32"/>
        </w:rPr>
        <w:t>人，各乡镇均有分布，其中以桃溪、熟溪、柳城、白洋、新宅和坦洪等乡镇为主，重点防范区</w:t>
      </w:r>
      <w:r>
        <w:rPr>
          <w:rFonts w:ascii="Times New Roman" w:hAnsi="Times New Roman" w:eastAsia="仿宋_GB2312" w:cs="仿宋_GB2312"/>
          <w:sz w:val="32"/>
          <w:szCs w:val="32"/>
        </w:rPr>
        <w:t>5</w:t>
      </w:r>
      <w:r>
        <w:rPr>
          <w:rFonts w:hint="eastAsia" w:ascii="Times New Roman" w:hAnsi="Times New Roman" w:eastAsia="仿宋_GB2312" w:cs="仿宋_GB2312"/>
          <w:sz w:val="32"/>
          <w:szCs w:val="32"/>
        </w:rPr>
        <w:t>处，次重点防范区</w:t>
      </w:r>
      <w:r>
        <w:rPr>
          <w:rFonts w:ascii="Times New Roman" w:hAnsi="Times New Roman" w:eastAsia="仿宋_GB2312" w:cs="仿宋_GB2312"/>
          <w:sz w:val="32"/>
          <w:szCs w:val="32"/>
        </w:rPr>
        <w:t>37</w:t>
      </w:r>
      <w:r>
        <w:rPr>
          <w:rFonts w:hint="eastAsia" w:ascii="Times New Roman" w:hAnsi="Times New Roman" w:eastAsia="仿宋_GB2312" w:cs="仿宋_GB2312"/>
          <w:sz w:val="32"/>
          <w:szCs w:val="32"/>
        </w:rPr>
        <w:t>处，一般防范区</w:t>
      </w:r>
      <w:r>
        <w:rPr>
          <w:rFonts w:ascii="Times New Roman" w:hAnsi="Times New Roman" w:eastAsia="仿宋_GB2312" w:cs="仿宋_GB2312"/>
          <w:sz w:val="32"/>
          <w:szCs w:val="32"/>
        </w:rPr>
        <w:t>143</w:t>
      </w:r>
      <w:r>
        <w:rPr>
          <w:rFonts w:hint="eastAsia" w:ascii="Times New Roman" w:hAnsi="Times New Roman" w:eastAsia="仿宋_GB2312" w:cs="仿宋_GB2312"/>
          <w:sz w:val="32"/>
          <w:szCs w:val="32"/>
        </w:rPr>
        <w:t>处。</w:t>
      </w:r>
    </w:p>
    <w:p>
      <w:pPr>
        <w:pStyle w:val="11"/>
        <w:spacing w:before="0" w:after="0" w:line="600" w:lineRule="exact"/>
        <w:ind w:firstLine="643" w:firstLineChars="200"/>
        <w:jc w:val="left"/>
        <w:rPr>
          <w:rFonts w:ascii="Times New Roman" w:hAnsi="Times New Roman" w:eastAsia="楷体_GB2312" w:cs="仿宋_GB2312"/>
        </w:rPr>
      </w:pPr>
      <w:bookmarkStart w:id="4" w:name="_Toc74663418"/>
      <w:r>
        <w:rPr>
          <w:rFonts w:hint="eastAsia" w:ascii="Times New Roman" w:hAnsi="Times New Roman" w:eastAsia="楷体_GB2312" w:cs="仿宋_GB2312"/>
        </w:rPr>
        <w:t>（三）地质灾害防治现状</w:t>
      </w:r>
      <w:bookmarkEnd w:id="4"/>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“十三五”时期，我县高度重视地质灾害防治工作，地质灾害防治工作取得显著成效。</w:t>
      </w:r>
    </w:p>
    <w:p>
      <w:pPr>
        <w:pStyle w:val="5"/>
        <w:autoSpaceDE w:val="0"/>
        <w:autoSpaceDN w:val="0"/>
        <w:spacing w:after="0" w:line="600" w:lineRule="exact"/>
        <w:ind w:firstLine="643" w:firstLineChars="200"/>
        <w:rPr>
          <w:rFonts w:eastAsia="仿宋_GB2312" w:cs="仿宋_GB2312"/>
          <w:kern w:val="2"/>
          <w:sz w:val="32"/>
          <w:szCs w:val="32"/>
        </w:rPr>
      </w:pPr>
      <w:r>
        <w:rPr>
          <w:rFonts w:hint="eastAsia" w:eastAsia="仿宋_GB2312" w:cs="仿宋_GB2312"/>
          <w:b/>
          <w:bCs/>
          <w:kern w:val="2"/>
          <w:sz w:val="32"/>
          <w:szCs w:val="32"/>
        </w:rPr>
        <w:t>专项资金保障助推“除险安居”行动高质量完成。</w:t>
      </w:r>
      <w:r>
        <w:rPr>
          <w:rFonts w:hint="eastAsia" w:eastAsia="仿宋_GB2312" w:cs="仿宋_GB2312"/>
          <w:kern w:val="2"/>
          <w:sz w:val="32"/>
          <w:szCs w:val="32"/>
        </w:rPr>
        <w:t>“十三五”期间，全县共投入地质灾害综合防治资金约</w:t>
      </w:r>
      <w:r>
        <w:rPr>
          <w:rFonts w:eastAsia="仿宋_GB2312" w:cs="仿宋_GB2312"/>
          <w:kern w:val="2"/>
          <w:sz w:val="32"/>
          <w:szCs w:val="32"/>
        </w:rPr>
        <w:t>5500</w:t>
      </w:r>
      <w:r>
        <w:rPr>
          <w:rFonts w:hint="eastAsia" w:eastAsia="仿宋_GB2312" w:cs="仿宋_GB2312"/>
          <w:kern w:val="2"/>
          <w:sz w:val="32"/>
          <w:szCs w:val="32"/>
        </w:rPr>
        <w:t>万元（不包括安置小区建设费用），同比“十二五”增加近</w:t>
      </w:r>
      <w:r>
        <w:rPr>
          <w:rFonts w:eastAsia="仿宋_GB2312" w:cs="仿宋_GB2312"/>
          <w:kern w:val="2"/>
          <w:sz w:val="32"/>
          <w:szCs w:val="32"/>
        </w:rPr>
        <w:t>200%</w:t>
      </w:r>
      <w:r>
        <w:rPr>
          <w:rFonts w:hint="eastAsia" w:eastAsia="仿宋_GB2312" w:cs="仿宋_GB2312"/>
          <w:kern w:val="2"/>
          <w:sz w:val="32"/>
          <w:szCs w:val="32"/>
        </w:rPr>
        <w:t>。“除险安居”行动完成</w:t>
      </w:r>
      <w:r>
        <w:rPr>
          <w:rFonts w:eastAsia="仿宋_GB2312" w:cs="仿宋_GB2312"/>
          <w:kern w:val="2"/>
          <w:sz w:val="32"/>
          <w:szCs w:val="32"/>
        </w:rPr>
        <w:t>63</w:t>
      </w:r>
      <w:r>
        <w:rPr>
          <w:rFonts w:hint="eastAsia" w:eastAsia="仿宋_GB2312" w:cs="仿宋_GB2312"/>
          <w:kern w:val="2"/>
          <w:sz w:val="32"/>
          <w:szCs w:val="32"/>
        </w:rPr>
        <w:t>处地质灾害隐患点综合治理，减少威胁人口</w:t>
      </w:r>
      <w:r>
        <w:rPr>
          <w:rFonts w:eastAsia="仿宋_GB2312" w:cs="仿宋_GB2312"/>
          <w:kern w:val="2"/>
          <w:sz w:val="32"/>
          <w:szCs w:val="32"/>
        </w:rPr>
        <w:t>1967</w:t>
      </w:r>
      <w:r>
        <w:rPr>
          <w:rFonts w:hint="eastAsia" w:eastAsia="仿宋_GB2312" w:cs="仿宋_GB2312"/>
          <w:kern w:val="2"/>
          <w:sz w:val="32"/>
          <w:szCs w:val="32"/>
        </w:rPr>
        <w:t>人，减少威胁财产</w:t>
      </w:r>
      <w:r>
        <w:rPr>
          <w:rFonts w:eastAsia="仿宋_GB2312" w:cs="仿宋_GB2312"/>
          <w:kern w:val="2"/>
          <w:sz w:val="32"/>
          <w:szCs w:val="32"/>
        </w:rPr>
        <w:t>8891</w:t>
      </w:r>
      <w:r>
        <w:rPr>
          <w:rFonts w:hint="eastAsia" w:eastAsia="仿宋_GB2312" w:cs="仿宋_GB2312"/>
          <w:kern w:val="2"/>
          <w:sz w:val="32"/>
          <w:szCs w:val="32"/>
        </w:rPr>
        <w:t>万元，隐患数量显著下降，柳城镇因成绩突出荣获省政府“成绩突出集体”表彰。</w:t>
      </w:r>
    </w:p>
    <w:p>
      <w:pPr>
        <w:pStyle w:val="5"/>
        <w:widowControl/>
        <w:spacing w:after="0" w:line="600" w:lineRule="exact"/>
        <w:ind w:firstLine="643" w:firstLineChars="200"/>
        <w:rPr>
          <w:rFonts w:eastAsia="仿宋_GB2312" w:cs="仿宋_GB2312"/>
          <w:kern w:val="2"/>
          <w:sz w:val="32"/>
          <w:szCs w:val="32"/>
        </w:rPr>
      </w:pPr>
      <w:r>
        <w:rPr>
          <w:rFonts w:hint="eastAsia" w:eastAsia="仿宋_GB2312" w:cs="仿宋_GB2312"/>
          <w:b/>
          <w:bCs/>
          <w:kern w:val="2"/>
          <w:sz w:val="32"/>
          <w:szCs w:val="32"/>
        </w:rPr>
        <w:t>地质灾害管理工作更加规范，防治基础更加夯实。</w:t>
      </w:r>
      <w:r>
        <w:rPr>
          <w:rFonts w:hint="eastAsia" w:eastAsia="仿宋_GB2312" w:cs="仿宋_GB2312"/>
          <w:kern w:val="2"/>
          <w:sz w:val="32"/>
          <w:szCs w:val="32"/>
        </w:rPr>
        <w:t>更新完善了地质灾害值班、地质灾害三级巡查、地质灾害危险性评估、地质灾害速报等工作制度，修编地质灾害应急预案和编制地质灾害年度防治方案，签订地质灾害防治工作责任书，层层落实防灾责任。成立武义县地质灾害应急中心，联合地勘单位开展地质队员“驻县进乡”行动；以地质灾害防治知识进农村文化礼堂为平台，会同当地乡镇政府，进入易发区内村庄开展地质灾害防治知识宣传，发放宣传材料</w:t>
      </w:r>
      <w:r>
        <w:rPr>
          <w:rFonts w:eastAsia="仿宋_GB2312" w:cs="仿宋_GB2312"/>
          <w:kern w:val="2"/>
          <w:sz w:val="32"/>
          <w:szCs w:val="32"/>
        </w:rPr>
        <w:t>3700</w:t>
      </w:r>
      <w:r>
        <w:rPr>
          <w:rFonts w:hint="eastAsia" w:eastAsia="仿宋_GB2312" w:cs="仿宋_GB2312"/>
          <w:kern w:val="2"/>
          <w:sz w:val="32"/>
          <w:szCs w:val="32"/>
        </w:rPr>
        <w:t>余份；重点防治村每年开展应急演练，带动基层干部和受威胁群众</w:t>
      </w:r>
      <w:r>
        <w:rPr>
          <w:rFonts w:eastAsia="仿宋_GB2312" w:cs="仿宋_GB2312"/>
          <w:kern w:val="2"/>
          <w:sz w:val="32"/>
          <w:szCs w:val="32"/>
        </w:rPr>
        <w:t>2000</w:t>
      </w:r>
      <w:r>
        <w:rPr>
          <w:rFonts w:hint="eastAsia" w:eastAsia="仿宋_GB2312" w:cs="仿宋_GB2312"/>
          <w:kern w:val="2"/>
          <w:sz w:val="32"/>
          <w:szCs w:val="32"/>
        </w:rPr>
        <w:t>余人次参演，大幅提升基层防灾能力。</w:t>
      </w:r>
    </w:p>
    <w:p>
      <w:pPr>
        <w:pStyle w:val="5"/>
        <w:widowControl/>
        <w:spacing w:after="0" w:line="600" w:lineRule="exact"/>
        <w:ind w:firstLine="643" w:firstLineChars="200"/>
        <w:rPr>
          <w:rFonts w:eastAsia="仿宋_GB2312" w:cs="仿宋_GB2312"/>
          <w:kern w:val="2"/>
          <w:sz w:val="32"/>
          <w:szCs w:val="32"/>
        </w:rPr>
      </w:pPr>
      <w:r>
        <w:rPr>
          <w:rFonts w:hint="eastAsia" w:eastAsia="仿宋_GB2312" w:cs="仿宋_GB2312"/>
          <w:b/>
          <w:bCs/>
          <w:kern w:val="2"/>
          <w:sz w:val="32"/>
          <w:szCs w:val="32"/>
        </w:rPr>
        <w:t>风险调查全面开展，扎实推进四查机制。</w:t>
      </w:r>
      <w:r>
        <w:rPr>
          <w:rFonts w:hint="eastAsia" w:eastAsia="仿宋_GB2312" w:cs="仿宋_GB2312"/>
          <w:kern w:val="2"/>
          <w:sz w:val="32"/>
          <w:szCs w:val="32"/>
        </w:rPr>
        <w:t>风险调查稳步推进，启动武义县</w:t>
      </w:r>
      <w:r>
        <w:rPr>
          <w:rFonts w:eastAsia="仿宋_GB2312" w:cs="仿宋_GB2312"/>
          <w:kern w:val="2"/>
          <w:sz w:val="32"/>
          <w:szCs w:val="32"/>
        </w:rPr>
        <w:t>1:5</w:t>
      </w:r>
      <w:r>
        <w:rPr>
          <w:rFonts w:hint="eastAsia" w:eastAsia="仿宋_GB2312" w:cs="仿宋_GB2312"/>
          <w:kern w:val="2"/>
          <w:sz w:val="32"/>
          <w:szCs w:val="32"/>
        </w:rPr>
        <w:t>万地质灾害风险普查和桃溪镇、坦洪乡</w:t>
      </w:r>
      <w:r>
        <w:rPr>
          <w:rFonts w:eastAsia="仿宋_GB2312" w:cs="仿宋_GB2312"/>
          <w:kern w:val="2"/>
          <w:sz w:val="32"/>
          <w:szCs w:val="32"/>
        </w:rPr>
        <w:t>1:2000</w:t>
      </w:r>
      <w:r>
        <w:rPr>
          <w:rFonts w:hint="eastAsia" w:eastAsia="仿宋_GB2312" w:cs="仿宋_GB2312"/>
          <w:kern w:val="2"/>
          <w:sz w:val="32"/>
          <w:szCs w:val="32"/>
        </w:rPr>
        <w:t>风险调查评价工作，开展全县地质灾害风险“一张图”清单核查，进一步摸清风险隐患家底，初步建立风险管控体系。扎实推进“汛前排查、汛中巡查、应急调查，汛后复查”四查工作，会同地勘队伍“驻县进乡”行动，对区内地质灾害隐患点和风险防范区开展日常巡排查、调查复查工作，其中</w:t>
      </w:r>
      <w:r>
        <w:rPr>
          <w:rFonts w:eastAsia="仿宋_GB2312" w:cs="仿宋_GB2312"/>
          <w:kern w:val="2"/>
          <w:sz w:val="32"/>
          <w:szCs w:val="32"/>
        </w:rPr>
        <w:t>2020</w:t>
      </w:r>
      <w:r>
        <w:rPr>
          <w:rFonts w:hint="eastAsia" w:eastAsia="仿宋_GB2312" w:cs="仿宋_GB2312"/>
          <w:kern w:val="2"/>
          <w:sz w:val="32"/>
          <w:szCs w:val="32"/>
        </w:rPr>
        <w:t>年</w:t>
      </w:r>
      <w:r>
        <w:rPr>
          <w:rFonts w:eastAsia="仿宋_GB2312" w:cs="仿宋_GB2312"/>
          <w:kern w:val="2"/>
          <w:sz w:val="32"/>
          <w:szCs w:val="32"/>
        </w:rPr>
        <w:t>4号台风“黑格比”期间共计出动检查组107组278人检查192点次</w:t>
      </w:r>
      <w:r>
        <w:rPr>
          <w:rFonts w:hint="eastAsia" w:eastAsia="仿宋_GB2312" w:cs="仿宋_GB2312"/>
          <w:kern w:val="2"/>
          <w:sz w:val="32"/>
          <w:szCs w:val="32"/>
        </w:rPr>
        <w:t>，很大程度提升了风险管理水平。</w:t>
      </w:r>
    </w:p>
    <w:p>
      <w:pPr>
        <w:pStyle w:val="5"/>
        <w:autoSpaceDE w:val="0"/>
        <w:autoSpaceDN w:val="0"/>
        <w:spacing w:after="0" w:line="600" w:lineRule="exact"/>
        <w:ind w:firstLine="643" w:firstLineChars="200"/>
        <w:rPr>
          <w:rFonts w:eastAsia="仿宋_GB2312" w:cs="仿宋_GB2312"/>
          <w:kern w:val="2"/>
          <w:sz w:val="32"/>
          <w:szCs w:val="32"/>
        </w:rPr>
      </w:pPr>
      <w:r>
        <w:rPr>
          <w:rFonts w:hint="eastAsia" w:eastAsia="仿宋_GB2312" w:cs="仿宋_GB2312"/>
          <w:b/>
          <w:bCs/>
          <w:kern w:val="2"/>
          <w:sz w:val="32"/>
          <w:szCs w:val="32"/>
        </w:rPr>
        <w:t>监测网络日趋健全，预警体系更加成熟。</w:t>
      </w:r>
      <w:r>
        <w:rPr>
          <w:rFonts w:hint="eastAsia" w:eastAsia="仿宋_GB2312" w:cs="仿宋_GB2312"/>
          <w:kern w:val="2"/>
          <w:sz w:val="32"/>
          <w:szCs w:val="32"/>
        </w:rPr>
        <w:t>深化“群专结合”监测网络，累计建成专业地质灾害监测仪器</w:t>
      </w:r>
      <w:r>
        <w:rPr>
          <w:rFonts w:eastAsia="仿宋_GB2312" w:cs="仿宋_GB2312"/>
          <w:kern w:val="2"/>
          <w:sz w:val="32"/>
          <w:szCs w:val="32"/>
        </w:rPr>
        <w:t>5</w:t>
      </w:r>
      <w:r>
        <w:rPr>
          <w:rFonts w:hint="eastAsia" w:eastAsia="仿宋_GB2312" w:cs="仿宋_GB2312"/>
          <w:kern w:val="2"/>
          <w:sz w:val="32"/>
          <w:szCs w:val="32"/>
        </w:rPr>
        <w:t>台，雨量站</w:t>
      </w:r>
      <w:r>
        <w:rPr>
          <w:rFonts w:eastAsia="仿宋_GB2312" w:cs="仿宋_GB2312"/>
          <w:kern w:val="2"/>
          <w:sz w:val="32"/>
          <w:szCs w:val="32"/>
        </w:rPr>
        <w:t>2</w:t>
      </w:r>
      <w:r>
        <w:rPr>
          <w:rFonts w:hint="eastAsia" w:eastAsia="仿宋_GB2312" w:cs="仿宋_GB2312"/>
          <w:kern w:val="2"/>
          <w:sz w:val="32"/>
          <w:szCs w:val="32"/>
        </w:rPr>
        <w:t>个。把地质灾害隐患点和风险区纳入群测群防监测体系，全面落实并及时更新防灾责任人和群测群防员，配备必要的巡查监测物资，</w:t>
      </w:r>
      <w:r>
        <w:rPr>
          <w:rFonts w:eastAsia="仿宋_GB2312" w:cs="仿宋_GB2312"/>
          <w:kern w:val="2"/>
          <w:sz w:val="32"/>
          <w:szCs w:val="32"/>
        </w:rPr>
        <w:t>2020年更新人员信息552人，</w:t>
      </w:r>
      <w:r>
        <w:rPr>
          <w:rFonts w:hint="eastAsia" w:eastAsia="仿宋_GB2312" w:cs="仿宋_GB2312"/>
          <w:kern w:val="2"/>
          <w:sz w:val="32"/>
          <w:szCs w:val="32"/>
        </w:rPr>
        <w:t>累计</w:t>
      </w:r>
      <w:r>
        <w:rPr>
          <w:rFonts w:eastAsia="仿宋_GB2312" w:cs="仿宋_GB2312"/>
          <w:kern w:val="2"/>
          <w:sz w:val="32"/>
          <w:szCs w:val="32"/>
        </w:rPr>
        <w:t>群测群防人员</w:t>
      </w:r>
      <w:r>
        <w:rPr>
          <w:rFonts w:hint="eastAsia" w:eastAsia="仿宋_GB2312" w:cs="仿宋_GB2312"/>
          <w:kern w:val="2"/>
          <w:sz w:val="32"/>
          <w:szCs w:val="32"/>
        </w:rPr>
        <w:t>达</w:t>
      </w:r>
      <w:r>
        <w:rPr>
          <w:rFonts w:eastAsia="仿宋_GB2312" w:cs="仿宋_GB2312"/>
          <w:kern w:val="2"/>
          <w:sz w:val="32"/>
          <w:szCs w:val="32"/>
        </w:rPr>
        <w:t>634人</w:t>
      </w:r>
      <w:r>
        <w:rPr>
          <w:rFonts w:hint="eastAsia" w:eastAsia="仿宋_GB2312" w:cs="仿宋_GB2312"/>
          <w:kern w:val="2"/>
          <w:sz w:val="32"/>
          <w:szCs w:val="32"/>
        </w:rPr>
        <w:t>。预警更加及时、覆盖范围更广，“十三五”期间全县共发布地质灾害预警</w:t>
      </w:r>
      <w:r>
        <w:rPr>
          <w:rFonts w:eastAsia="仿宋_GB2312" w:cs="仿宋_GB2312"/>
          <w:kern w:val="2"/>
          <w:sz w:val="32"/>
          <w:szCs w:val="32"/>
        </w:rPr>
        <w:t>202</w:t>
      </w:r>
      <w:r>
        <w:rPr>
          <w:rFonts w:hint="eastAsia" w:eastAsia="仿宋_GB2312" w:cs="仿宋_GB2312"/>
          <w:kern w:val="2"/>
          <w:sz w:val="32"/>
          <w:szCs w:val="32"/>
        </w:rPr>
        <w:t>次，预警短信</w:t>
      </w:r>
      <w:r>
        <w:rPr>
          <w:rFonts w:eastAsia="仿宋_GB2312" w:cs="仿宋_GB2312"/>
          <w:kern w:val="2"/>
          <w:sz w:val="32"/>
          <w:szCs w:val="32"/>
        </w:rPr>
        <w:t>97984</w:t>
      </w:r>
      <w:r>
        <w:rPr>
          <w:rFonts w:hint="eastAsia" w:eastAsia="仿宋_GB2312" w:cs="仿宋_GB2312"/>
          <w:kern w:val="2"/>
          <w:sz w:val="32"/>
          <w:szCs w:val="32"/>
        </w:rPr>
        <w:t>条。</w:t>
      </w:r>
    </w:p>
    <w:p>
      <w:pPr>
        <w:pStyle w:val="11"/>
        <w:spacing w:before="0" w:after="0" w:line="600" w:lineRule="exact"/>
        <w:ind w:firstLine="643" w:firstLineChars="200"/>
        <w:jc w:val="left"/>
        <w:rPr>
          <w:rFonts w:ascii="Times New Roman" w:hAnsi="Times New Roman" w:eastAsia="楷体_GB2312" w:cs="仿宋_GB2312"/>
        </w:rPr>
      </w:pPr>
      <w:bookmarkStart w:id="5" w:name="_Toc74663419"/>
      <w:r>
        <w:rPr>
          <w:rFonts w:hint="eastAsia" w:ascii="Times New Roman" w:hAnsi="Times New Roman" w:eastAsia="楷体_GB2312" w:cs="仿宋_GB2312"/>
        </w:rPr>
        <w:t>（四）面临形势</w:t>
      </w:r>
      <w:bookmarkEnd w:id="5"/>
    </w:p>
    <w:p>
      <w:pPr>
        <w:tabs>
          <w:tab w:val="left" w:pos="8460"/>
        </w:tabs>
        <w:spacing w:line="600" w:lineRule="exact"/>
        <w:ind w:firstLine="640" w:firstLineChars="200"/>
        <w:rPr>
          <w:rFonts w:ascii="Times New Roman" w:hAnsi="Times New Roman" w:eastAsia="仿宋" w:cs="仿宋_GB2312"/>
          <w:sz w:val="28"/>
          <w:szCs w:val="28"/>
          <w:highlight w:val="yellow"/>
        </w:rPr>
      </w:pPr>
      <w:r>
        <w:rPr>
          <w:rFonts w:hint="eastAsia" w:ascii="Times New Roman" w:hAnsi="Times New Roman" w:eastAsia="仿宋_GB2312" w:cs="仿宋_GB2312"/>
          <w:sz w:val="32"/>
          <w:szCs w:val="32"/>
        </w:rPr>
        <w:t>“十四五”及今后一个时期，武义正处在深化“三篇文章”的迭代期、新旧动能转换的提速期、新发展格局构建的窗口期、城市能级跃升的关键期、改革系统集成的突破期。随着平安武义建设的不断深入，为不断实现人民对美好生活的向往，各级政府对公共安全愈加重视，这对地质灾害防治提出了更高的要求。我县“十三五”地质灾害防治取得了长足进步，但仍存在一些短板，</w:t>
      </w:r>
      <w:bookmarkStart w:id="54" w:name="_GoBack"/>
      <w:bookmarkEnd w:id="54"/>
      <w:r>
        <w:rPr>
          <w:rFonts w:hint="default" w:ascii="Times New Roman" w:hAnsi="Times New Roman" w:eastAsia="仿宋_GB2312" w:cs="仿宋_GB2312"/>
          <w:sz w:val="32"/>
          <w:szCs w:val="32"/>
          <w:lang w:val="en-US"/>
        </w:rPr>
        <w:t>“十四五”还面</w:t>
      </w:r>
      <w:r>
        <w:rPr>
          <w:rFonts w:hint="eastAsia" w:ascii="Times New Roman" w:hAnsi="Times New Roman" w:eastAsia="仿宋_GB2312" w:cs="仿宋_GB2312"/>
          <w:sz w:val="32"/>
          <w:szCs w:val="32"/>
        </w:rPr>
        <w:t>临如下形势。</w:t>
      </w:r>
    </w:p>
    <w:p>
      <w:pPr>
        <w:tabs>
          <w:tab w:val="left" w:pos="8460"/>
        </w:tabs>
        <w:spacing w:line="600" w:lineRule="exact"/>
        <w:ind w:firstLine="643" w:firstLineChars="200"/>
        <w:rPr>
          <w:rFonts w:ascii="Times New Roman" w:hAnsi="Times New Roman" w:eastAsia="仿宋" w:cs="仿宋_GB2312"/>
          <w:sz w:val="28"/>
          <w:szCs w:val="28"/>
        </w:rPr>
      </w:pPr>
      <w:r>
        <w:rPr>
          <w:rFonts w:hint="eastAsia" w:ascii="Times New Roman" w:hAnsi="Times New Roman" w:eastAsia="仿宋_GB2312" w:cs="仿宋_GB2312"/>
          <w:b/>
          <w:bCs/>
          <w:sz w:val="32"/>
          <w:szCs w:val="32"/>
        </w:rPr>
        <w:t>一是地质灾害风险仍然存在。</w:t>
      </w:r>
      <w:r>
        <w:rPr>
          <w:rFonts w:hint="eastAsia" w:ascii="Times New Roman" w:hAnsi="Times New Roman" w:eastAsia="仿宋_GB2312" w:cs="仿宋_GB2312"/>
          <w:sz w:val="32"/>
          <w:szCs w:val="32"/>
        </w:rPr>
        <w:t>我县以山地、丘陵为主、地质环境条件脆弱的背景没有改变，梅雨期持续降雨和台汛期强降雨等极端天气的不利影响依然存在，加之随着经济社会发展，各类工程活动对地质环境影响不断增大，未来一段时间内区内地质灾害仍将呈易发态势，造成人员伤亡的风险仍然存在。</w:t>
      </w:r>
    </w:p>
    <w:p>
      <w:pPr>
        <w:tabs>
          <w:tab w:val="left" w:pos="8460"/>
        </w:tabs>
        <w:spacing w:line="60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二是防灾减灾理念发生转变。</w:t>
      </w:r>
      <w:r>
        <w:rPr>
          <w:rFonts w:hint="eastAsia" w:ascii="Times New Roman" w:hAnsi="Times New Roman" w:eastAsia="仿宋_GB2312" w:cs="仿宋_GB2312"/>
          <w:sz w:val="32"/>
          <w:szCs w:val="32"/>
        </w:rPr>
        <w:t>党的十九届五中全会提出，坚持人民至上、生命至上，把保护人民生命安全摆在首位。习近平总书记针对防灾救灾工作，提出“一个目标、四个宁可、三个不怕”等重要理念。省委、省政府明确提出要切实纠正和克服灾害防御“四种错误思想”，地质灾害防治工作进入地质灾害隐患点和风险区双控阶段。</w:t>
      </w:r>
    </w:p>
    <w:p>
      <w:pPr>
        <w:pStyle w:val="5"/>
        <w:spacing w:after="0" w:line="600" w:lineRule="exact"/>
        <w:ind w:firstLine="643" w:firstLineChars="200"/>
        <w:rPr>
          <w:rFonts w:eastAsia="仿宋_GB2312" w:cs="仿宋_GB2312"/>
          <w:kern w:val="2"/>
          <w:sz w:val="32"/>
          <w:szCs w:val="32"/>
        </w:rPr>
      </w:pPr>
      <w:r>
        <w:rPr>
          <w:rFonts w:hint="eastAsia" w:eastAsia="仿宋_GB2312" w:cs="仿宋_GB2312"/>
          <w:b/>
          <w:bCs/>
          <w:kern w:val="2"/>
          <w:sz w:val="32"/>
          <w:szCs w:val="32"/>
        </w:rPr>
        <w:t>三是地质灾害防治智能化要求。</w:t>
      </w:r>
      <w:r>
        <w:rPr>
          <w:rFonts w:hint="eastAsia" w:eastAsia="仿宋_GB2312" w:cs="仿宋_GB2312"/>
          <w:kern w:val="2"/>
          <w:sz w:val="32"/>
          <w:szCs w:val="32"/>
        </w:rPr>
        <w:t>省委省政府提出地质灾害“整体智治”三年行动，要求运用现代科学技术，建立的地质灾害风险管控新机制，构建分区分类分级的地质灾害风险管理新体系，形成“即时感知、科学决策、精准服务、高效运行、智能监管”的地质灾害防治新格局。</w:t>
      </w:r>
    </w:p>
    <w:p>
      <w:pPr>
        <w:pStyle w:val="11"/>
        <w:spacing w:before="0" w:after="0" w:line="600" w:lineRule="exact"/>
        <w:ind w:firstLine="643" w:firstLineChars="200"/>
        <w:jc w:val="left"/>
        <w:rPr>
          <w:rFonts w:ascii="Times New Roman" w:hAnsi="Times New Roman" w:eastAsia="楷体_GB2312" w:cs="仿宋_GB2312"/>
        </w:rPr>
      </w:pPr>
      <w:r>
        <w:rPr>
          <w:rFonts w:hint="eastAsia" w:ascii="Times New Roman" w:hAnsi="Times New Roman" w:eastAsia="楷体_GB2312" w:cs="仿宋_GB2312"/>
        </w:rPr>
        <w:t>（五）存在问题</w:t>
      </w:r>
    </w:p>
    <w:p>
      <w:pPr>
        <w:pStyle w:val="5"/>
        <w:spacing w:after="0" w:line="600" w:lineRule="exact"/>
        <w:ind w:firstLine="640" w:firstLineChars="200"/>
        <w:rPr>
          <w:rFonts w:eastAsia="仿宋" w:cs="仿宋_GB2312"/>
          <w:sz w:val="28"/>
          <w:szCs w:val="28"/>
        </w:rPr>
      </w:pPr>
      <w:r>
        <w:rPr>
          <w:rFonts w:hint="eastAsia" w:eastAsia="仿宋_GB2312" w:cs="仿宋_GB2312"/>
          <w:kern w:val="2"/>
          <w:sz w:val="32"/>
          <w:szCs w:val="32"/>
        </w:rPr>
        <w:t>地质灾害防治工作在新形势新要求下仍存在一些不足，主要表现在：</w:t>
      </w:r>
    </w:p>
    <w:p>
      <w:pPr>
        <w:pStyle w:val="5"/>
        <w:spacing w:after="0" w:line="600" w:lineRule="exact"/>
        <w:ind w:firstLine="643" w:firstLineChars="200"/>
        <w:rPr>
          <w:rFonts w:eastAsia="仿宋_GB2312" w:cs="仿宋_GB2312"/>
          <w:b/>
          <w:bCs/>
          <w:kern w:val="2"/>
          <w:sz w:val="32"/>
          <w:szCs w:val="32"/>
        </w:rPr>
      </w:pPr>
      <w:bookmarkStart w:id="6" w:name="_Hlk71530188"/>
      <w:r>
        <w:rPr>
          <w:rFonts w:hint="eastAsia" w:eastAsia="仿宋_GB2312" w:cs="仿宋_GB2312"/>
          <w:b/>
          <w:bCs/>
          <w:kern w:val="2"/>
          <w:sz w:val="32"/>
          <w:szCs w:val="32"/>
        </w:rPr>
        <w:t>风险隐患底数还未完全摸清。</w:t>
      </w:r>
      <w:r>
        <w:rPr>
          <w:rFonts w:hint="eastAsia" w:eastAsia="仿宋_GB2312" w:cs="仿宋_GB2312"/>
          <w:kern w:val="2"/>
          <w:sz w:val="32"/>
          <w:szCs w:val="32"/>
        </w:rPr>
        <w:t>地质灾害孕灾地质条件、诱发因素和发育规律认识不足，极端条件下地质灾害危险性和风险评价研究不够深入，与新形势下防灾减灾工作的新要求存在一定差距。</w:t>
      </w:r>
    </w:p>
    <w:p>
      <w:pPr>
        <w:pStyle w:val="5"/>
        <w:spacing w:after="0" w:line="600" w:lineRule="exact"/>
        <w:ind w:firstLine="643" w:firstLineChars="200"/>
        <w:rPr>
          <w:rFonts w:eastAsia="仿宋_GB2312" w:cs="仿宋_GB2312"/>
          <w:kern w:val="2"/>
          <w:sz w:val="32"/>
          <w:szCs w:val="32"/>
        </w:rPr>
      </w:pPr>
      <w:r>
        <w:rPr>
          <w:rFonts w:hint="eastAsia" w:eastAsia="仿宋_GB2312" w:cs="仿宋_GB2312"/>
          <w:b/>
          <w:bCs/>
          <w:kern w:val="2"/>
          <w:sz w:val="32"/>
          <w:szCs w:val="32"/>
        </w:rPr>
        <w:t>预警预报专业监测精度仍需提高。</w:t>
      </w:r>
      <w:r>
        <w:rPr>
          <w:rFonts w:hint="eastAsia" w:eastAsia="仿宋_GB2312" w:cs="仿宋_GB2312"/>
          <w:kern w:val="2"/>
          <w:sz w:val="32"/>
          <w:szCs w:val="32"/>
        </w:rPr>
        <w:t>地质灾害监测预报精度仍需提高，灾害发生阈值的系统性研究还不够，专业监测精度不够，局部短时强降雨导致突发性地质灾害的风险仍处于不可控状态。</w:t>
      </w:r>
    </w:p>
    <w:p>
      <w:pPr>
        <w:pStyle w:val="5"/>
        <w:spacing w:after="0" w:line="600" w:lineRule="exact"/>
        <w:ind w:firstLine="643" w:firstLineChars="200"/>
        <w:rPr>
          <w:rFonts w:eastAsia="仿宋_GB2312" w:cs="仿宋_GB2312"/>
          <w:kern w:val="2"/>
          <w:sz w:val="32"/>
          <w:szCs w:val="32"/>
        </w:rPr>
      </w:pPr>
      <w:r>
        <w:rPr>
          <w:rFonts w:hint="eastAsia" w:eastAsia="仿宋_GB2312" w:cs="仿宋_GB2312"/>
          <w:b/>
          <w:bCs/>
          <w:kern w:val="2"/>
          <w:sz w:val="32"/>
          <w:szCs w:val="32"/>
        </w:rPr>
        <w:t>数字化发展水平不均衡。</w:t>
      </w:r>
      <w:r>
        <w:rPr>
          <w:rFonts w:hint="eastAsia" w:eastAsia="仿宋_GB2312" w:cs="仿宋_GB2312"/>
          <w:kern w:val="2"/>
          <w:sz w:val="32"/>
          <w:szCs w:val="32"/>
        </w:rPr>
        <w:t>数字化平台应用还不够充分，雨量等数据部门之间共享力度不足，数据功能单一、联动性不强。以手机短信为载体的预警预报方式信息量先天不足，</w:t>
      </w:r>
      <w:r>
        <w:rPr>
          <w:rFonts w:eastAsia="仿宋_GB2312" w:cs="仿宋_GB2312"/>
          <w:kern w:val="2"/>
          <w:sz w:val="32"/>
          <w:szCs w:val="32"/>
        </w:rPr>
        <w:t>App</w:t>
      </w:r>
      <w:r>
        <w:rPr>
          <w:rFonts w:hint="eastAsia" w:eastAsia="仿宋_GB2312" w:cs="仿宋_GB2312"/>
          <w:kern w:val="2"/>
          <w:sz w:val="32"/>
          <w:szCs w:val="32"/>
        </w:rPr>
        <w:t>运用未能与时俱进。</w:t>
      </w:r>
    </w:p>
    <w:p>
      <w:pPr>
        <w:pStyle w:val="5"/>
        <w:spacing w:after="0" w:line="600" w:lineRule="exact"/>
        <w:ind w:firstLine="643" w:firstLineChars="200"/>
        <w:rPr>
          <w:rFonts w:eastAsia="仿宋_GB2312" w:cs="仿宋_GB2312"/>
          <w:kern w:val="2"/>
          <w:sz w:val="32"/>
          <w:szCs w:val="32"/>
        </w:rPr>
      </w:pPr>
      <w:r>
        <w:rPr>
          <w:rFonts w:hint="eastAsia" w:eastAsia="仿宋_GB2312" w:cs="仿宋_GB2312"/>
          <w:b/>
          <w:bCs/>
          <w:kern w:val="2"/>
          <w:sz w:val="32"/>
          <w:szCs w:val="32"/>
        </w:rPr>
        <w:t>协同机制尚未健全，人才队伍短板突出。</w:t>
      </w:r>
      <w:r>
        <w:rPr>
          <w:rFonts w:hint="eastAsia" w:eastAsia="仿宋_GB2312" w:cs="仿宋_GB2312"/>
          <w:kern w:val="2"/>
          <w:sz w:val="32"/>
          <w:szCs w:val="32"/>
        </w:rPr>
        <w:t>基层防灾部门的职责边界仍不清晰，协同机制尚未健全，基层防灾管理队伍人员缺乏，风险管控专业队员不足，专业培训机制有待完善，地质灾害风险管理工作高质量发展对专业队伍和技术人员的需求亟待解决。</w:t>
      </w:r>
    </w:p>
    <w:p>
      <w:pPr>
        <w:pStyle w:val="5"/>
        <w:spacing w:after="0" w:line="600" w:lineRule="exact"/>
        <w:ind w:firstLine="643" w:firstLineChars="200"/>
        <w:rPr>
          <w:rFonts w:eastAsia="仿宋_GB2312" w:cs="仿宋_GB2312"/>
          <w:b/>
          <w:bCs/>
          <w:kern w:val="2"/>
          <w:sz w:val="32"/>
          <w:szCs w:val="32"/>
        </w:rPr>
      </w:pPr>
    </w:p>
    <w:bookmarkEnd w:id="6"/>
    <w:p>
      <w:pPr>
        <w:pStyle w:val="5"/>
        <w:spacing w:after="0" w:line="560" w:lineRule="exact"/>
        <w:ind w:firstLine="560" w:firstLineChars="200"/>
        <w:rPr>
          <w:rFonts w:eastAsia="仿宋" w:cs="仿宋_GB2312"/>
          <w:kern w:val="2"/>
          <w:sz w:val="28"/>
          <w:szCs w:val="28"/>
        </w:rPr>
      </w:pPr>
    </w:p>
    <w:p>
      <w:pPr>
        <w:widowControl/>
        <w:jc w:val="left"/>
        <w:rPr>
          <w:rFonts w:ascii="Times New Roman" w:hAnsi="Times New Roman" w:eastAsia="仿宋" w:cs="黑体"/>
          <w:b/>
          <w:bCs/>
          <w:kern w:val="44"/>
          <w:sz w:val="32"/>
          <w:szCs w:val="32"/>
        </w:rPr>
      </w:pPr>
      <w:r>
        <w:rPr>
          <w:rFonts w:ascii="Times New Roman" w:hAnsi="Times New Roman" w:eastAsia="仿宋" w:cs="黑体"/>
          <w:sz w:val="32"/>
          <w:szCs w:val="32"/>
        </w:rPr>
        <w:br w:type="page"/>
      </w:r>
    </w:p>
    <w:p>
      <w:pPr>
        <w:widowControl/>
        <w:spacing w:line="600" w:lineRule="exact"/>
        <w:ind w:firstLine="640" w:firstLineChars="200"/>
        <w:jc w:val="left"/>
        <w:rPr>
          <w:rFonts w:ascii="Times New Roman" w:hAnsi="Times New Roman" w:eastAsia="黑体" w:cs="黑体"/>
          <w:sz w:val="32"/>
          <w:szCs w:val="32"/>
        </w:rPr>
      </w:pPr>
      <w:bookmarkStart w:id="7" w:name="_Toc74663420"/>
      <w:r>
        <w:rPr>
          <w:rFonts w:hint="eastAsia" w:ascii="Times New Roman" w:hAnsi="Times New Roman" w:eastAsia="黑体" w:cs="黑体"/>
          <w:sz w:val="32"/>
          <w:szCs w:val="32"/>
        </w:rPr>
        <w:t>三、总体要求</w:t>
      </w:r>
      <w:bookmarkEnd w:id="7"/>
    </w:p>
    <w:p>
      <w:pPr>
        <w:pStyle w:val="11"/>
        <w:spacing w:before="0" w:after="0" w:line="600" w:lineRule="exact"/>
        <w:ind w:firstLine="643" w:firstLineChars="200"/>
        <w:jc w:val="left"/>
        <w:rPr>
          <w:rFonts w:ascii="Times New Roman" w:hAnsi="Times New Roman" w:eastAsia="楷体_GB2312" w:cs="仿宋_GB2312"/>
        </w:rPr>
      </w:pPr>
      <w:bookmarkStart w:id="8" w:name="_Toc74663421"/>
      <w:r>
        <w:rPr>
          <w:rFonts w:hint="eastAsia" w:ascii="Times New Roman" w:hAnsi="Times New Roman" w:eastAsia="楷体_GB2312" w:cs="仿宋_GB2312"/>
        </w:rPr>
        <w:t>（一）指导思想</w:t>
      </w:r>
      <w:bookmarkEnd w:id="8"/>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习近平新时代中国特色社会主义思想为指导，深入贯彻落实习近平总书记关于防灾减灾工作系列重要论述精神，坚持人民至上、生命至上，围绕“不死人、少伤人、少损失”的总目标，坚持“四个宁可、三个不怕”防汛防台工作理念，坚决纠正和克服“四种错误思想”，遵循系统观念、系统方法，大力推进地质灾害“风险识别能力、监测能力、预警能力、防范能力、治理能力、管理能力”六大能力建设，推动地质灾害防治与数字化深度融合，构建顺应武义县经济社会发展的地质灾害风险防控新体系，着力提升地质灾害“整体智治”能力，为高质量建设“平安武义”和“重要窗口”提供公共安全保障。</w:t>
      </w:r>
    </w:p>
    <w:p>
      <w:pPr>
        <w:pStyle w:val="11"/>
        <w:spacing w:before="0" w:after="0" w:line="600" w:lineRule="exact"/>
        <w:ind w:firstLine="643" w:firstLineChars="200"/>
        <w:jc w:val="left"/>
        <w:rPr>
          <w:rFonts w:ascii="Times New Roman" w:hAnsi="Times New Roman" w:eastAsia="楷体_GB2312" w:cs="仿宋_GB2312"/>
        </w:rPr>
      </w:pPr>
      <w:bookmarkStart w:id="9" w:name="_Toc74663422"/>
      <w:r>
        <w:rPr>
          <w:rFonts w:hint="eastAsia" w:ascii="Times New Roman" w:hAnsi="Times New Roman" w:eastAsia="楷体_GB2312" w:cs="仿宋_GB2312"/>
        </w:rPr>
        <w:t>（二）基本原则</w:t>
      </w:r>
      <w:bookmarkEnd w:id="9"/>
    </w:p>
    <w:p>
      <w:pPr>
        <w:spacing w:line="600" w:lineRule="exact"/>
        <w:ind w:firstLine="643" w:firstLineChars="200"/>
        <w:rPr>
          <w:rFonts w:ascii="Times New Roman" w:hAnsi="Times New Roman" w:eastAsia="仿宋_GB2312" w:cs="仿宋_GB2312"/>
          <w:sz w:val="32"/>
          <w:szCs w:val="32"/>
        </w:rPr>
      </w:pPr>
      <w:bookmarkStart w:id="10" w:name="_Hlk66830418"/>
      <w:r>
        <w:rPr>
          <w:rFonts w:hint="eastAsia" w:ascii="Times New Roman" w:hAnsi="Times New Roman" w:eastAsia="仿宋_GB2312" w:cs="仿宋_GB2312"/>
          <w:b/>
          <w:bCs/>
          <w:sz w:val="32"/>
          <w:szCs w:val="32"/>
        </w:rPr>
        <w:t>以人为本，保障安全。</w:t>
      </w:r>
      <w:r>
        <w:rPr>
          <w:rFonts w:hint="eastAsia" w:ascii="Times New Roman" w:hAnsi="Times New Roman" w:eastAsia="仿宋_GB2312" w:cs="仿宋_GB2312"/>
          <w:sz w:val="32"/>
          <w:szCs w:val="32"/>
        </w:rPr>
        <w:t>始终把保护人民群众生命和财产安全放在首位，牢固树立安全发展理念，把地质灾害防治作为维护公共安全的重要内容，全面完善地质灾害防治体系，整体提升综合防治能力，努力把地质灾害威胁降到最低程度。</w:t>
      </w:r>
    </w:p>
    <w:p>
      <w:pPr>
        <w:spacing w:line="60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预防为主，防治结合。</w:t>
      </w:r>
      <w:r>
        <w:rPr>
          <w:rFonts w:hint="eastAsia" w:ascii="Times New Roman" w:hAnsi="Times New Roman" w:eastAsia="仿宋_GB2312" w:cs="仿宋_GB2312"/>
          <w:sz w:val="32"/>
          <w:szCs w:val="32"/>
        </w:rPr>
        <w:t>坚持地质灾害防治与生态环境保护相结合，非工程措施与综合治理相结合，加强地质灾害风险调查评价工作与群专监测网络建设，对风险防范区及隐患点开展科学防控与治理，标本兼治，综合施策。切实规范农民建房、农业生产等活动，源头控制或降低地质灾害风险。</w:t>
      </w:r>
    </w:p>
    <w:p>
      <w:pPr>
        <w:spacing w:line="60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职责明确，统筹部署。</w:t>
      </w:r>
      <w:r>
        <w:rPr>
          <w:rFonts w:hint="eastAsia" w:ascii="Times New Roman" w:hAnsi="Times New Roman" w:eastAsia="仿宋_GB2312" w:cs="仿宋_GB2312"/>
          <w:sz w:val="32"/>
          <w:szCs w:val="32"/>
        </w:rPr>
        <w:t>明确政府在地质灾害防治工作中所起主导作用及其责任红线，建立健全政府统一领导、统一指挥，相关部门各司其职、密切配合的工作机制。突出地质灾害“整体智治”等重点任务，统筹部署各项具体工作，服务社会经济发展大局。</w:t>
      </w:r>
    </w:p>
    <w:p>
      <w:pPr>
        <w:spacing w:line="60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数字赋能，讲求实效。</w:t>
      </w:r>
      <w:r>
        <w:rPr>
          <w:rFonts w:hint="eastAsia" w:ascii="Times New Roman" w:hAnsi="Times New Roman" w:eastAsia="仿宋_GB2312" w:cs="仿宋_GB2312"/>
          <w:sz w:val="32"/>
          <w:szCs w:val="32"/>
        </w:rPr>
        <w:t>坚持需求导向，强化科技创新支撑引领作用，为地质灾害防治工作注入强大动力。推动常规方法与云计算、大数据、物联网、人工智能等现代科学技术有机融合，在实践中建立适合武义县地质灾害防治工作的新机制、新体系和新格局，实现地质灾害防治工作规范化、科学化，不断提高地质灾害防治水平和实效。</w:t>
      </w:r>
    </w:p>
    <w:bookmarkEnd w:id="10"/>
    <w:p>
      <w:pPr>
        <w:pStyle w:val="11"/>
        <w:spacing w:before="0" w:after="0" w:line="600" w:lineRule="exact"/>
        <w:ind w:firstLine="643" w:firstLineChars="200"/>
        <w:jc w:val="left"/>
        <w:rPr>
          <w:rFonts w:ascii="Times New Roman" w:hAnsi="Times New Roman" w:eastAsia="楷体_GB2312" w:cs="仿宋_GB2312"/>
        </w:rPr>
      </w:pPr>
      <w:bookmarkStart w:id="11" w:name="_Toc74663423"/>
      <w:r>
        <w:rPr>
          <w:rFonts w:hint="eastAsia" w:ascii="Times New Roman" w:hAnsi="Times New Roman" w:eastAsia="楷体_GB2312" w:cs="仿宋_GB2312"/>
        </w:rPr>
        <w:t>（三）规划目标</w:t>
      </w:r>
      <w:bookmarkEnd w:id="11"/>
    </w:p>
    <w:p>
      <w:pPr>
        <w:spacing w:line="600" w:lineRule="exact"/>
        <w:ind w:firstLine="643" w:firstLineChars="200"/>
        <w:rPr>
          <w:rFonts w:ascii="Times New Roman" w:hAnsi="Times New Roman" w:eastAsia="仿宋_GB2312" w:cs="仿宋_GB2312"/>
          <w:b/>
          <w:bCs/>
          <w:sz w:val="32"/>
          <w:szCs w:val="32"/>
        </w:rPr>
      </w:pPr>
      <w:bookmarkStart w:id="12" w:name="_Hlk68119225"/>
      <w:r>
        <w:rPr>
          <w:rFonts w:ascii="Times New Roman" w:hAnsi="Times New Roman" w:eastAsia="仿宋_GB2312" w:cs="仿宋_GB2312"/>
          <w:b/>
          <w:bCs/>
          <w:sz w:val="32"/>
          <w:szCs w:val="32"/>
        </w:rPr>
        <w:t>1</w:t>
      </w:r>
      <w:r>
        <w:rPr>
          <w:rFonts w:hint="eastAsia" w:ascii="Times New Roman" w:hAnsi="Times New Roman" w:eastAsia="仿宋_GB2312" w:cs="仿宋_GB2312"/>
          <w:b/>
          <w:bCs/>
          <w:sz w:val="32"/>
          <w:szCs w:val="32"/>
        </w:rPr>
        <w:t>、总体目标</w:t>
      </w:r>
    </w:p>
    <w:bookmarkEnd w:id="12"/>
    <w:p>
      <w:pPr>
        <w:spacing w:line="600" w:lineRule="exact"/>
        <w:ind w:firstLine="640" w:firstLineChars="200"/>
        <w:rPr>
          <w:rFonts w:ascii="Times New Roman" w:hAnsi="Times New Roman" w:eastAsia="仿宋_GB2312" w:cs="仿宋_GB2312"/>
          <w:sz w:val="32"/>
          <w:szCs w:val="32"/>
        </w:rPr>
      </w:pPr>
      <w:bookmarkStart w:id="13" w:name="_Hlk73606581"/>
      <w:r>
        <w:rPr>
          <w:rFonts w:hint="eastAsia" w:ascii="Times New Roman" w:hAnsi="Times New Roman" w:eastAsia="仿宋_GB2312" w:cs="仿宋_GB2312"/>
          <w:sz w:val="32"/>
          <w:szCs w:val="32"/>
        </w:rPr>
        <w:t>围绕“地质灾害风险识别能力、监测能力、预警能力、防范能力、治理能力、管理能力”六大能力建设，建立“一图一网、一单一码、科学防控、整体智治”的地质灾害风险管控新机制，构建分区分类分级的地质灾害风险管理新体系，形成“即时感知、科学决策、精准服务、高效运行、智能监管”的地质灾害防治新格局，努力实现地质灾害防治从单部门应对单一灾种向多部门联动应对灾害链转变、从人防为主向人防技防并重转变、从隐患点管理向风险防控转变，整体提升地质灾害综合防治能力。</w:t>
      </w:r>
    </w:p>
    <w:p>
      <w:pPr>
        <w:spacing w:line="600" w:lineRule="exact"/>
        <w:ind w:firstLine="643" w:firstLineChars="200"/>
        <w:rPr>
          <w:rFonts w:ascii="Times New Roman" w:hAnsi="Times New Roman" w:eastAsia="仿宋_GB2312" w:cs="仿宋_GB2312"/>
          <w:b/>
          <w:bCs/>
          <w:sz w:val="32"/>
          <w:szCs w:val="32"/>
        </w:rPr>
      </w:pPr>
      <w:r>
        <w:rPr>
          <w:rFonts w:ascii="Times New Roman" w:hAnsi="Times New Roman" w:eastAsia="仿宋_GB2312" w:cs="仿宋_GB2312"/>
          <w:b/>
          <w:bCs/>
          <w:sz w:val="32"/>
          <w:szCs w:val="32"/>
        </w:rPr>
        <w:t>2</w:t>
      </w:r>
      <w:r>
        <w:rPr>
          <w:rFonts w:hint="eastAsia" w:ascii="Times New Roman" w:hAnsi="Times New Roman" w:eastAsia="仿宋_GB2312" w:cs="仿宋_GB2312"/>
          <w:b/>
          <w:bCs/>
          <w:sz w:val="32"/>
          <w:szCs w:val="32"/>
        </w:rPr>
        <w:t>、具体目标指标</w:t>
      </w:r>
    </w:p>
    <w:p>
      <w:pPr>
        <w:spacing w:line="60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——调查监测精度大幅提高。</w:t>
      </w:r>
      <w:r>
        <w:rPr>
          <w:rFonts w:hint="eastAsia" w:ascii="Times New Roman" w:hAnsi="Times New Roman" w:eastAsia="仿宋_GB2312" w:cs="仿宋_GB2312"/>
          <w:sz w:val="32"/>
          <w:szCs w:val="32"/>
        </w:rPr>
        <w:t>全面完成</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50000</w:t>
      </w:r>
      <w:r>
        <w:rPr>
          <w:rFonts w:hint="eastAsia" w:ascii="Times New Roman" w:hAnsi="Times New Roman" w:eastAsia="仿宋_GB2312" w:cs="仿宋_GB2312"/>
          <w:sz w:val="32"/>
          <w:szCs w:val="32"/>
        </w:rPr>
        <w:t>地质灾害风险普查，高、中易发区乡（镇、街道）</w:t>
      </w:r>
      <w:r>
        <w:rPr>
          <w:rFonts w:ascii="Times New Roman" w:hAnsi="Times New Roman" w:eastAsia="仿宋_GB2312" w:cs="仿宋_GB2312"/>
          <w:sz w:val="32"/>
          <w:szCs w:val="32"/>
        </w:rPr>
        <w:t>1</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2000</w:t>
      </w:r>
      <w:r>
        <w:rPr>
          <w:rFonts w:hint="eastAsia" w:ascii="Times New Roman" w:hAnsi="Times New Roman" w:eastAsia="仿宋_GB2312" w:cs="仿宋_GB2312"/>
          <w:sz w:val="32"/>
          <w:szCs w:val="32"/>
        </w:rPr>
        <w:t>地质灾害风险调查评价基本覆盖，进一步摸清地质灾害发生规律，全面提升地质灾害风险识别能力；累计建成地质灾害专业监测点</w:t>
      </w:r>
      <w:r>
        <w:rPr>
          <w:rFonts w:ascii="Times New Roman" w:hAnsi="Times New Roman" w:eastAsia="仿宋_GB2312" w:cs="仿宋_GB2312"/>
          <w:sz w:val="32"/>
          <w:szCs w:val="32"/>
        </w:rPr>
        <w:t>16</w:t>
      </w:r>
      <w:r>
        <w:rPr>
          <w:rFonts w:hint="eastAsia" w:ascii="Times New Roman" w:hAnsi="Times New Roman" w:eastAsia="仿宋_GB2312" w:cs="仿宋_GB2312"/>
          <w:sz w:val="32"/>
          <w:szCs w:val="32"/>
        </w:rPr>
        <w:t>个，新建山区雨量监测站</w:t>
      </w:r>
      <w:r>
        <w:rPr>
          <w:rFonts w:ascii="Times New Roman" w:hAnsi="Times New Roman" w:eastAsia="仿宋_GB2312" w:cs="仿宋_GB2312"/>
          <w:sz w:val="32"/>
          <w:szCs w:val="32"/>
        </w:rPr>
        <w:t>16</w:t>
      </w:r>
      <w:r>
        <w:rPr>
          <w:rFonts w:hint="eastAsia" w:ascii="Times New Roman" w:hAnsi="Times New Roman" w:eastAsia="仿宋_GB2312" w:cs="仿宋_GB2312"/>
          <w:sz w:val="32"/>
          <w:szCs w:val="32"/>
        </w:rPr>
        <w:t>个，加强地质灾害群测群防员队伍建设，进一步提升群专结合监测网络。</w:t>
      </w:r>
    </w:p>
    <w:p>
      <w:pPr>
        <w:spacing w:line="60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——预警应急能力全面提升。</w:t>
      </w:r>
      <w:r>
        <w:rPr>
          <w:rFonts w:hint="eastAsia" w:ascii="Times New Roman" w:hAnsi="Times New Roman" w:eastAsia="仿宋_GB2312" w:cs="仿宋_GB2312"/>
          <w:sz w:val="32"/>
          <w:szCs w:val="32"/>
        </w:rPr>
        <w:t>建立武义县地质灾害风险预报一体化平台</w:t>
      </w:r>
      <w:r>
        <w:rPr>
          <w:rFonts w:ascii="Times New Roman" w:hAnsi="Times New Roman" w:eastAsia="仿宋_GB2312" w:cs="仿宋_GB2312"/>
          <w:sz w:val="32"/>
          <w:szCs w:val="32"/>
        </w:rPr>
        <w:t>及基于降雨、位移、应力、地下水位等多源数据驱动的地质灾害风险“一张图”预警系统；开展</w:t>
      </w:r>
      <w:r>
        <w:rPr>
          <w:rFonts w:hint="eastAsia" w:ascii="Times New Roman" w:hAnsi="Times New Roman" w:eastAsia="仿宋_GB2312" w:cs="仿宋_GB2312"/>
          <w:sz w:val="32"/>
          <w:szCs w:val="32"/>
        </w:rPr>
        <w:t>重点、次重点风险防范区应急演练，覆盖率</w:t>
      </w:r>
      <w:r>
        <w:rPr>
          <w:rFonts w:ascii="Times New Roman" w:hAnsi="Times New Roman" w:eastAsia="仿宋_GB2312" w:cs="仿宋_GB2312"/>
          <w:sz w:val="32"/>
          <w:szCs w:val="32"/>
        </w:rPr>
        <w:t>100%</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建设一支地质灾害应急装备设备和配备齐全的应急队伍，为政府在防灾救灾方面提供科学决策依据。</w:t>
      </w:r>
    </w:p>
    <w:p>
      <w:pPr>
        <w:spacing w:line="60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——灾害风险水平明显降低。</w:t>
      </w:r>
      <w:r>
        <w:rPr>
          <w:rFonts w:hint="eastAsia" w:ascii="Times New Roman" w:hAnsi="Times New Roman" w:eastAsia="仿宋_GB2312" w:cs="仿宋_GB2312"/>
          <w:sz w:val="32"/>
          <w:szCs w:val="32"/>
        </w:rPr>
        <w:t>对新发生和发现的地质灾害处置率</w:t>
      </w:r>
      <w:r>
        <w:rPr>
          <w:rFonts w:ascii="Times New Roman" w:hAnsi="Times New Roman" w:eastAsia="仿宋_GB2312" w:cs="仿宋_GB2312"/>
          <w:sz w:val="32"/>
          <w:szCs w:val="32"/>
        </w:rPr>
        <w:t>100%</w:t>
      </w:r>
      <w:r>
        <w:rPr>
          <w:rFonts w:hint="eastAsia" w:ascii="Times New Roman" w:hAnsi="Times New Roman" w:eastAsia="仿宋_GB2312" w:cs="仿宋_GB2312"/>
          <w:sz w:val="32"/>
          <w:szCs w:val="32"/>
        </w:rPr>
        <w:t>；完成地质灾害综合治理</w:t>
      </w:r>
      <w:r>
        <w:rPr>
          <w:rFonts w:ascii="Times New Roman" w:hAnsi="Times New Roman" w:eastAsia="仿宋_GB2312" w:cs="仿宋_GB2312"/>
          <w:sz w:val="32"/>
          <w:szCs w:val="32"/>
        </w:rPr>
        <w:t>11</w:t>
      </w:r>
      <w:r>
        <w:rPr>
          <w:rFonts w:hint="eastAsia" w:ascii="Times New Roman" w:hAnsi="Times New Roman" w:eastAsia="仿宋_GB2312" w:cs="仿宋_GB2312"/>
          <w:sz w:val="32"/>
          <w:szCs w:val="32"/>
        </w:rPr>
        <w:t>处，探索地质灾害治理工程管理新模式，完善治理工程质量安全体系；加大国土空间规划管控力度，切实规范农民建房、农业生产等活动，从源头上控制或降低地质灾害风险。</w:t>
      </w:r>
    </w:p>
    <w:p>
      <w:pPr>
        <w:spacing w:line="600" w:lineRule="exact"/>
        <w:ind w:firstLine="643" w:firstLineChars="200"/>
        <w:rPr>
          <w:rFonts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——风险管控机制更加健全。</w:t>
      </w:r>
      <w:r>
        <w:rPr>
          <w:rFonts w:hint="eastAsia" w:ascii="Times New Roman" w:hAnsi="Times New Roman" w:eastAsia="仿宋_GB2312" w:cs="仿宋_GB2312"/>
          <w:sz w:val="32"/>
          <w:szCs w:val="32"/>
        </w:rPr>
        <w:t>建立集地质灾害风险等级预报、地质灾害风险实时预警和地质灾害专业监测为一体地质灾害风险管控平台。建立健全政府统一领导、统一指挥，相关部门各司其职、密切配合的工作机制，完善地质灾害管理体系。提高地灾智防</w:t>
      </w:r>
      <w:r>
        <w:rPr>
          <w:rFonts w:ascii="Times New Roman" w:hAnsi="Times New Roman" w:eastAsia="仿宋_GB2312" w:cs="仿宋_GB2312"/>
          <w:sz w:val="32"/>
          <w:szCs w:val="32"/>
        </w:rPr>
        <w:t>APP</w:t>
      </w:r>
      <w:r>
        <w:rPr>
          <w:rFonts w:hint="eastAsia" w:ascii="Times New Roman" w:hAnsi="Times New Roman" w:eastAsia="仿宋_GB2312" w:cs="仿宋_GB2312"/>
          <w:sz w:val="32"/>
          <w:szCs w:val="32"/>
        </w:rPr>
        <w:t>的覆盖和使用率，科学确定、动态调整降雨阈值，及时发布风险管控清单。</w:t>
      </w:r>
    </w:p>
    <w:p>
      <w:pPr>
        <w:spacing w:line="600" w:lineRule="exact"/>
        <w:ind w:firstLine="643" w:firstLineChars="200"/>
        <w:rPr>
          <w:rFonts w:ascii="Times New Roman" w:hAnsi="Times New Roman" w:eastAsia="黑体" w:cs="仿宋_GB2312"/>
          <w:b/>
          <w:bCs/>
          <w:sz w:val="28"/>
          <w:szCs w:val="28"/>
        </w:rPr>
      </w:pPr>
      <w:r>
        <w:rPr>
          <w:rFonts w:hint="eastAsia" w:ascii="Times New Roman" w:hAnsi="Times New Roman" w:eastAsia="仿宋_GB2312" w:cs="仿宋_GB2312"/>
          <w:b/>
          <w:bCs/>
          <w:sz w:val="32"/>
          <w:szCs w:val="32"/>
        </w:rPr>
        <w:t>——数字科技创新更加赋能。</w:t>
      </w:r>
      <w:r>
        <w:rPr>
          <w:rFonts w:hint="eastAsia" w:ascii="Times New Roman" w:hAnsi="Times New Roman" w:eastAsia="仿宋_GB2312" w:cs="仿宋_GB2312"/>
          <w:sz w:val="32"/>
          <w:szCs w:val="32"/>
        </w:rPr>
        <w:t>鼓励地质灾害防治工作中的技术创新，以地质灾害“风险码”为主线，构建集地质灾害监测、分析、预报、预警和应急服务于一体的大数据管理体系，实现灾前、灾中、灾后全过程动态科学管理。</w:t>
      </w:r>
      <w:bookmarkStart w:id="14" w:name="_Hlk71530342"/>
    </w:p>
    <w:tbl>
      <w:tblPr>
        <w:tblStyle w:val="16"/>
        <w:tblW w:w="898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60"/>
        <w:gridCol w:w="773"/>
        <w:gridCol w:w="3435"/>
        <w:gridCol w:w="765"/>
        <w:gridCol w:w="1078"/>
        <w:gridCol w:w="990"/>
        <w:gridCol w:w="11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32" w:hRule="atLeast"/>
          <w:tblHeader/>
          <w:jc w:val="center"/>
        </w:trPr>
        <w:tc>
          <w:tcPr>
            <w:tcW w:w="8988" w:type="dxa"/>
            <w:gridSpan w:val="7"/>
            <w:shd w:val="clear" w:color="auto" w:fill="auto"/>
            <w:vAlign w:val="center"/>
          </w:tcPr>
          <w:p>
            <w:pPr>
              <w:jc w:val="center"/>
              <w:rPr>
                <w:rFonts w:ascii="Times New Roman" w:hAnsi="Times New Roman" w:eastAsia="仿宋_GB2312" w:cs="仿宋_GB2312"/>
                <w:b/>
                <w:sz w:val="24"/>
              </w:rPr>
            </w:pPr>
            <w:r>
              <w:rPr>
                <w:rFonts w:hint="eastAsia" w:ascii="Times New Roman" w:hAnsi="Times New Roman" w:eastAsia="黑体" w:cs="仿宋_GB2312"/>
                <w:b/>
                <w:bCs/>
                <w:sz w:val="28"/>
                <w:szCs w:val="28"/>
              </w:rPr>
              <w:t xml:space="preserve">专栏一 </w:t>
            </w:r>
            <w:r>
              <w:rPr>
                <w:rFonts w:ascii="Times New Roman" w:hAnsi="Times New Roman" w:eastAsia="黑体" w:cs="仿宋_GB2312"/>
                <w:b/>
                <w:bCs/>
                <w:sz w:val="28"/>
                <w:szCs w:val="28"/>
              </w:rPr>
              <w:t xml:space="preserve"> </w:t>
            </w:r>
            <w:r>
              <w:rPr>
                <w:rFonts w:hint="eastAsia" w:ascii="Times New Roman" w:hAnsi="Times New Roman" w:eastAsia="黑体" w:cs="仿宋_GB2312"/>
                <w:b/>
                <w:bCs/>
                <w:sz w:val="28"/>
                <w:szCs w:val="28"/>
              </w:rPr>
              <w:t>武义县地质灾害防治“十四五”规划主要指标专栏表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32" w:hRule="atLeast"/>
          <w:tblHeader/>
          <w:jc w:val="center"/>
        </w:trPr>
        <w:tc>
          <w:tcPr>
            <w:tcW w:w="760" w:type="dxa"/>
            <w:shd w:val="clear" w:color="auto" w:fill="auto"/>
            <w:vAlign w:val="center"/>
          </w:tcPr>
          <w:p>
            <w:pPr>
              <w:jc w:val="center"/>
              <w:rPr>
                <w:rFonts w:ascii="Times New Roman" w:hAnsi="Times New Roman" w:eastAsia="仿宋_GB2312" w:cs="仿宋_GB2312"/>
                <w:b/>
                <w:sz w:val="24"/>
              </w:rPr>
            </w:pPr>
            <w:r>
              <w:rPr>
                <w:rFonts w:hint="eastAsia" w:ascii="Times New Roman" w:hAnsi="Times New Roman" w:eastAsia="仿宋_GB2312" w:cs="仿宋_GB2312"/>
                <w:b/>
                <w:sz w:val="24"/>
              </w:rPr>
              <w:t>序号</w:t>
            </w:r>
          </w:p>
        </w:tc>
        <w:tc>
          <w:tcPr>
            <w:tcW w:w="773" w:type="dxa"/>
            <w:shd w:val="clear" w:color="auto" w:fill="auto"/>
            <w:vAlign w:val="center"/>
          </w:tcPr>
          <w:p>
            <w:pPr>
              <w:jc w:val="center"/>
              <w:rPr>
                <w:rFonts w:ascii="Times New Roman" w:hAnsi="Times New Roman" w:eastAsia="仿宋_GB2312" w:cs="仿宋_GB2312"/>
                <w:b/>
                <w:sz w:val="24"/>
              </w:rPr>
            </w:pPr>
            <w:r>
              <w:rPr>
                <w:rFonts w:hint="eastAsia" w:ascii="Times New Roman" w:hAnsi="Times New Roman" w:eastAsia="仿宋_GB2312" w:cs="仿宋_GB2312"/>
                <w:b/>
                <w:sz w:val="24"/>
              </w:rPr>
              <w:t>类别</w:t>
            </w:r>
          </w:p>
        </w:tc>
        <w:tc>
          <w:tcPr>
            <w:tcW w:w="3435" w:type="dxa"/>
            <w:shd w:val="clear" w:color="auto" w:fill="auto"/>
            <w:vAlign w:val="center"/>
          </w:tcPr>
          <w:p>
            <w:pPr>
              <w:jc w:val="center"/>
              <w:rPr>
                <w:rFonts w:ascii="Times New Roman" w:hAnsi="Times New Roman" w:eastAsia="仿宋_GB2312" w:cs="仿宋_GB2312"/>
                <w:b/>
                <w:sz w:val="24"/>
              </w:rPr>
            </w:pPr>
            <w:r>
              <w:rPr>
                <w:rFonts w:hint="eastAsia" w:ascii="Times New Roman" w:hAnsi="Times New Roman" w:eastAsia="仿宋_GB2312" w:cs="仿宋_GB2312"/>
                <w:b/>
                <w:sz w:val="24"/>
              </w:rPr>
              <w:t>指标名称</w:t>
            </w:r>
          </w:p>
        </w:tc>
        <w:tc>
          <w:tcPr>
            <w:tcW w:w="765" w:type="dxa"/>
            <w:shd w:val="clear" w:color="auto" w:fill="auto"/>
            <w:vAlign w:val="center"/>
          </w:tcPr>
          <w:p>
            <w:pPr>
              <w:jc w:val="center"/>
              <w:rPr>
                <w:rFonts w:ascii="Times New Roman" w:hAnsi="Times New Roman" w:eastAsia="仿宋_GB2312" w:cs="仿宋_GB2312"/>
                <w:b/>
                <w:sz w:val="24"/>
              </w:rPr>
            </w:pPr>
            <w:r>
              <w:rPr>
                <w:rFonts w:hint="eastAsia" w:ascii="Times New Roman" w:hAnsi="Times New Roman" w:eastAsia="仿宋_GB2312" w:cs="仿宋_GB2312"/>
                <w:b/>
                <w:sz w:val="24"/>
              </w:rPr>
              <w:t>单位</w:t>
            </w:r>
          </w:p>
        </w:tc>
        <w:tc>
          <w:tcPr>
            <w:tcW w:w="1078" w:type="dxa"/>
            <w:shd w:val="clear" w:color="auto" w:fill="auto"/>
            <w:vAlign w:val="center"/>
          </w:tcPr>
          <w:p>
            <w:pPr>
              <w:jc w:val="center"/>
              <w:rPr>
                <w:rFonts w:ascii="Times New Roman" w:hAnsi="Times New Roman" w:eastAsia="仿宋_GB2312" w:cs="仿宋_GB2312"/>
                <w:b/>
                <w:sz w:val="24"/>
              </w:rPr>
            </w:pPr>
            <w:r>
              <w:rPr>
                <w:rFonts w:ascii="Times New Roman" w:hAnsi="Times New Roman" w:eastAsia="仿宋_GB2312" w:cs="仿宋_GB2312"/>
                <w:b/>
                <w:sz w:val="24"/>
              </w:rPr>
              <w:t>2020</w:t>
            </w:r>
            <w:r>
              <w:rPr>
                <w:rFonts w:hint="eastAsia" w:ascii="Times New Roman" w:hAnsi="Times New Roman" w:eastAsia="仿宋_GB2312" w:cs="仿宋_GB2312"/>
                <w:b/>
                <w:sz w:val="24"/>
              </w:rPr>
              <w:t>年</w:t>
            </w:r>
          </w:p>
          <w:p>
            <w:pPr>
              <w:jc w:val="center"/>
              <w:rPr>
                <w:rFonts w:ascii="Times New Roman" w:hAnsi="Times New Roman" w:eastAsia="仿宋_GB2312" w:cs="仿宋_GB2312"/>
                <w:b/>
                <w:sz w:val="24"/>
              </w:rPr>
            </w:pPr>
            <w:r>
              <w:rPr>
                <w:rFonts w:hint="eastAsia" w:ascii="Times New Roman" w:hAnsi="Times New Roman" w:eastAsia="仿宋_GB2312" w:cs="仿宋_GB2312"/>
                <w:b/>
                <w:sz w:val="24"/>
              </w:rPr>
              <w:t>现状</w:t>
            </w:r>
          </w:p>
        </w:tc>
        <w:tc>
          <w:tcPr>
            <w:tcW w:w="990" w:type="dxa"/>
            <w:shd w:val="clear" w:color="auto" w:fill="auto"/>
            <w:vAlign w:val="center"/>
          </w:tcPr>
          <w:p>
            <w:pPr>
              <w:jc w:val="center"/>
              <w:rPr>
                <w:rFonts w:ascii="Times New Roman" w:hAnsi="Times New Roman" w:eastAsia="仿宋_GB2312" w:cs="仿宋_GB2312"/>
                <w:b/>
                <w:sz w:val="24"/>
              </w:rPr>
            </w:pPr>
            <w:r>
              <w:rPr>
                <w:rFonts w:ascii="Times New Roman" w:hAnsi="Times New Roman" w:eastAsia="仿宋_GB2312" w:cs="仿宋_GB2312"/>
                <w:b/>
                <w:sz w:val="24"/>
              </w:rPr>
              <w:t>2025</w:t>
            </w:r>
            <w:r>
              <w:rPr>
                <w:rFonts w:hint="eastAsia" w:ascii="Times New Roman" w:hAnsi="Times New Roman" w:eastAsia="仿宋_GB2312" w:cs="仿宋_GB2312"/>
                <w:b/>
                <w:sz w:val="24"/>
              </w:rPr>
              <w:t>年目标</w:t>
            </w:r>
          </w:p>
        </w:tc>
        <w:tc>
          <w:tcPr>
            <w:tcW w:w="1187" w:type="dxa"/>
            <w:shd w:val="clear" w:color="auto" w:fill="auto"/>
            <w:vAlign w:val="center"/>
          </w:tcPr>
          <w:p>
            <w:pPr>
              <w:jc w:val="center"/>
              <w:rPr>
                <w:rFonts w:ascii="Times New Roman" w:hAnsi="Times New Roman" w:eastAsia="仿宋_GB2312" w:cs="仿宋_GB2312"/>
                <w:b/>
                <w:sz w:val="24"/>
              </w:rPr>
            </w:pPr>
            <w:r>
              <w:rPr>
                <w:rFonts w:hint="eastAsia" w:ascii="Times New Roman" w:hAnsi="Times New Roman" w:eastAsia="仿宋_GB2312" w:cs="仿宋_GB2312"/>
                <w:b/>
                <w:sz w:val="24"/>
              </w:rPr>
              <w:t>指标属性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jc w:val="center"/>
        </w:trPr>
        <w:tc>
          <w:tcPr>
            <w:tcW w:w="76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773" w:type="dxa"/>
            <w:vMerge w:val="restart"/>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调查监测</w:t>
            </w:r>
          </w:p>
        </w:tc>
        <w:tc>
          <w:tcPr>
            <w:tcW w:w="3435" w:type="dxa"/>
            <w:shd w:val="clear" w:color="auto" w:fill="auto"/>
            <w:vAlign w:val="center"/>
          </w:tcPr>
          <w:p>
            <w:pPr>
              <w:jc w:val="left"/>
              <w:rPr>
                <w:rFonts w:ascii="Times New Roman" w:hAnsi="Times New Roman" w:eastAsia="仿宋_GB2312" w:cs="Times New Roman"/>
                <w:sz w:val="24"/>
              </w:rPr>
            </w:pPr>
            <w:r>
              <w:rPr>
                <w:rFonts w:ascii="Times New Roman" w:hAnsi="Times New Roman" w:eastAsia="仿宋_GB2312" w:cs="Times New Roman"/>
                <w:sz w:val="24"/>
              </w:rPr>
              <w:t>1:50000</w:t>
            </w:r>
            <w:r>
              <w:rPr>
                <w:rFonts w:hint="eastAsia" w:ascii="Times New Roman" w:hAnsi="Times New Roman" w:eastAsia="仿宋_GB2312" w:cs="Times New Roman"/>
                <w:sz w:val="24"/>
              </w:rPr>
              <w:t>地质灾害风险普查</w:t>
            </w:r>
          </w:p>
        </w:tc>
        <w:tc>
          <w:tcPr>
            <w:tcW w:w="765"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个</w:t>
            </w:r>
          </w:p>
        </w:tc>
        <w:tc>
          <w:tcPr>
            <w:tcW w:w="1078"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0</w:t>
            </w:r>
          </w:p>
        </w:tc>
        <w:tc>
          <w:tcPr>
            <w:tcW w:w="99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187"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3" w:hRule="atLeast"/>
          <w:jc w:val="center"/>
        </w:trPr>
        <w:tc>
          <w:tcPr>
            <w:tcW w:w="76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773" w:type="dxa"/>
            <w:vMerge w:val="continue"/>
            <w:shd w:val="clear" w:color="auto" w:fill="auto"/>
            <w:vAlign w:val="center"/>
          </w:tcPr>
          <w:p>
            <w:pPr>
              <w:rPr>
                <w:rFonts w:ascii="Times New Roman" w:hAnsi="Times New Roman" w:eastAsia="仿宋_GB2312" w:cs="Times New Roman"/>
                <w:sz w:val="24"/>
              </w:rPr>
            </w:pPr>
          </w:p>
        </w:tc>
        <w:tc>
          <w:tcPr>
            <w:tcW w:w="3435" w:type="dxa"/>
            <w:shd w:val="clear" w:color="auto" w:fill="auto"/>
            <w:vAlign w:val="center"/>
          </w:tcPr>
          <w:p>
            <w:pPr>
              <w:jc w:val="left"/>
              <w:rPr>
                <w:rFonts w:ascii="Times New Roman" w:hAnsi="Times New Roman" w:eastAsia="仿宋_GB2312" w:cs="Times New Roman"/>
                <w:sz w:val="24"/>
              </w:rPr>
            </w:pPr>
            <w:r>
              <w:rPr>
                <w:rFonts w:hint="eastAsia" w:ascii="Times New Roman" w:hAnsi="Times New Roman" w:eastAsia="仿宋_GB2312" w:cs="Times New Roman"/>
                <w:sz w:val="24"/>
              </w:rPr>
              <w:t>乡镇（街道）地质灾害风险调查评价</w:t>
            </w:r>
          </w:p>
        </w:tc>
        <w:tc>
          <w:tcPr>
            <w:tcW w:w="765"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个</w:t>
            </w:r>
          </w:p>
        </w:tc>
        <w:tc>
          <w:tcPr>
            <w:tcW w:w="1078"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0</w:t>
            </w:r>
          </w:p>
        </w:tc>
        <w:tc>
          <w:tcPr>
            <w:tcW w:w="99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1187"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jc w:val="center"/>
        </w:trPr>
        <w:tc>
          <w:tcPr>
            <w:tcW w:w="76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773" w:type="dxa"/>
            <w:vMerge w:val="continue"/>
            <w:shd w:val="clear" w:color="auto" w:fill="auto"/>
            <w:vAlign w:val="center"/>
          </w:tcPr>
          <w:p>
            <w:pPr>
              <w:jc w:val="center"/>
              <w:rPr>
                <w:rFonts w:ascii="Times New Roman" w:hAnsi="Times New Roman" w:eastAsia="仿宋_GB2312" w:cs="Times New Roman"/>
                <w:sz w:val="24"/>
              </w:rPr>
            </w:pPr>
          </w:p>
        </w:tc>
        <w:tc>
          <w:tcPr>
            <w:tcW w:w="3435" w:type="dxa"/>
            <w:shd w:val="clear" w:color="auto" w:fill="auto"/>
            <w:vAlign w:val="center"/>
          </w:tcPr>
          <w:p>
            <w:pPr>
              <w:jc w:val="left"/>
              <w:rPr>
                <w:rFonts w:ascii="Times New Roman" w:hAnsi="Times New Roman" w:eastAsia="仿宋_GB2312" w:cs="Times New Roman"/>
                <w:sz w:val="24"/>
              </w:rPr>
            </w:pPr>
            <w:r>
              <w:rPr>
                <w:rFonts w:hint="eastAsia" w:ascii="Times New Roman" w:hAnsi="Times New Roman" w:eastAsia="仿宋_GB2312" w:cs="Times New Roman"/>
                <w:sz w:val="24"/>
              </w:rPr>
              <w:t>累计建成地质灾害专业监测点</w:t>
            </w:r>
          </w:p>
        </w:tc>
        <w:tc>
          <w:tcPr>
            <w:tcW w:w="765"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个</w:t>
            </w:r>
          </w:p>
        </w:tc>
        <w:tc>
          <w:tcPr>
            <w:tcW w:w="1078"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99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w:t>
            </w:r>
          </w:p>
        </w:tc>
        <w:tc>
          <w:tcPr>
            <w:tcW w:w="1187"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76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4</w:t>
            </w:r>
          </w:p>
        </w:tc>
        <w:tc>
          <w:tcPr>
            <w:tcW w:w="773" w:type="dxa"/>
            <w:vMerge w:val="continue"/>
            <w:shd w:val="clear" w:color="auto" w:fill="auto"/>
            <w:vAlign w:val="center"/>
          </w:tcPr>
          <w:p>
            <w:pPr>
              <w:jc w:val="center"/>
              <w:rPr>
                <w:rFonts w:ascii="Times New Roman" w:hAnsi="Times New Roman" w:eastAsia="仿宋_GB2312" w:cs="Times New Roman"/>
                <w:sz w:val="24"/>
              </w:rPr>
            </w:pPr>
          </w:p>
        </w:tc>
        <w:tc>
          <w:tcPr>
            <w:tcW w:w="3435" w:type="dxa"/>
            <w:shd w:val="clear" w:color="auto" w:fill="auto"/>
            <w:vAlign w:val="center"/>
          </w:tcPr>
          <w:p>
            <w:pPr>
              <w:jc w:val="left"/>
              <w:rPr>
                <w:rFonts w:ascii="Times New Roman" w:hAnsi="Times New Roman" w:eastAsia="仿宋_GB2312" w:cs="Times New Roman"/>
                <w:sz w:val="24"/>
              </w:rPr>
            </w:pPr>
            <w:r>
              <w:rPr>
                <w:rFonts w:hint="eastAsia" w:ascii="Times New Roman" w:hAnsi="Times New Roman" w:eastAsia="仿宋_GB2312" w:cs="Times New Roman"/>
                <w:sz w:val="24"/>
              </w:rPr>
              <w:t>新增山区雨量自动监测站</w:t>
            </w:r>
          </w:p>
        </w:tc>
        <w:tc>
          <w:tcPr>
            <w:tcW w:w="765"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个</w:t>
            </w:r>
          </w:p>
        </w:tc>
        <w:tc>
          <w:tcPr>
            <w:tcW w:w="1078"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99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16</w:t>
            </w:r>
          </w:p>
        </w:tc>
        <w:tc>
          <w:tcPr>
            <w:tcW w:w="1187"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76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5</w:t>
            </w:r>
          </w:p>
        </w:tc>
        <w:tc>
          <w:tcPr>
            <w:tcW w:w="773" w:type="dxa"/>
            <w:vMerge w:val="restart"/>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预警应急</w:t>
            </w:r>
          </w:p>
        </w:tc>
        <w:tc>
          <w:tcPr>
            <w:tcW w:w="3435" w:type="dxa"/>
            <w:shd w:val="clear" w:color="auto" w:fill="auto"/>
            <w:vAlign w:val="center"/>
          </w:tcPr>
          <w:p>
            <w:pPr>
              <w:jc w:val="left"/>
              <w:rPr>
                <w:rFonts w:ascii="Times New Roman" w:hAnsi="Times New Roman" w:eastAsia="仿宋_GB2312" w:cs="Times New Roman"/>
                <w:sz w:val="24"/>
              </w:rPr>
            </w:pPr>
            <w:r>
              <w:rPr>
                <w:rFonts w:hint="eastAsia" w:ascii="Times New Roman" w:hAnsi="Times New Roman" w:eastAsia="仿宋_GB2312" w:cs="Times New Roman"/>
                <w:sz w:val="24"/>
              </w:rPr>
              <w:t>配合建设市、县（市、区）地质灾害风险管控平台</w:t>
            </w:r>
          </w:p>
        </w:tc>
        <w:tc>
          <w:tcPr>
            <w:tcW w:w="765"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个</w:t>
            </w:r>
          </w:p>
        </w:tc>
        <w:tc>
          <w:tcPr>
            <w:tcW w:w="1078"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0</w:t>
            </w:r>
          </w:p>
        </w:tc>
        <w:tc>
          <w:tcPr>
            <w:tcW w:w="99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1187"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76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6</w:t>
            </w:r>
          </w:p>
        </w:tc>
        <w:tc>
          <w:tcPr>
            <w:tcW w:w="773" w:type="dxa"/>
            <w:vMerge w:val="continue"/>
            <w:shd w:val="clear" w:color="auto" w:fill="auto"/>
            <w:vAlign w:val="center"/>
          </w:tcPr>
          <w:p>
            <w:pPr>
              <w:jc w:val="center"/>
              <w:rPr>
                <w:rFonts w:ascii="Times New Roman" w:hAnsi="Times New Roman" w:eastAsia="仿宋_GB2312" w:cs="Times New Roman"/>
                <w:sz w:val="24"/>
              </w:rPr>
            </w:pPr>
          </w:p>
        </w:tc>
        <w:tc>
          <w:tcPr>
            <w:tcW w:w="3435" w:type="dxa"/>
            <w:shd w:val="clear" w:color="auto" w:fill="auto"/>
            <w:vAlign w:val="center"/>
          </w:tcPr>
          <w:p>
            <w:pPr>
              <w:jc w:val="left"/>
              <w:rPr>
                <w:rFonts w:ascii="Times New Roman" w:hAnsi="Times New Roman" w:eastAsia="仿宋_GB2312" w:cs="Times New Roman"/>
                <w:sz w:val="24"/>
              </w:rPr>
            </w:pPr>
            <w:r>
              <w:rPr>
                <w:rFonts w:hint="eastAsia" w:ascii="Times New Roman" w:hAnsi="Times New Roman" w:eastAsia="仿宋_GB2312" w:cs="Times New Roman"/>
                <w:sz w:val="24"/>
              </w:rPr>
              <w:t>重点、次重点风险防范区应</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急预案演练覆盖率</w:t>
            </w:r>
          </w:p>
        </w:tc>
        <w:tc>
          <w:tcPr>
            <w:tcW w:w="765"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w:t>
            </w:r>
          </w:p>
        </w:tc>
        <w:tc>
          <w:tcPr>
            <w:tcW w:w="1078"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w:t>
            </w:r>
          </w:p>
        </w:tc>
        <w:tc>
          <w:tcPr>
            <w:tcW w:w="99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100</w:t>
            </w:r>
          </w:p>
        </w:tc>
        <w:tc>
          <w:tcPr>
            <w:tcW w:w="1187"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76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7</w:t>
            </w:r>
          </w:p>
        </w:tc>
        <w:tc>
          <w:tcPr>
            <w:tcW w:w="773" w:type="dxa"/>
            <w:vMerge w:val="continue"/>
            <w:shd w:val="clear" w:color="auto" w:fill="auto"/>
            <w:vAlign w:val="center"/>
          </w:tcPr>
          <w:p>
            <w:pPr>
              <w:jc w:val="center"/>
              <w:rPr>
                <w:rFonts w:ascii="Times New Roman" w:hAnsi="Times New Roman" w:eastAsia="仿宋_GB2312" w:cs="Times New Roman"/>
                <w:sz w:val="24"/>
              </w:rPr>
            </w:pPr>
          </w:p>
        </w:tc>
        <w:tc>
          <w:tcPr>
            <w:tcW w:w="3435" w:type="dxa"/>
            <w:shd w:val="clear" w:color="auto" w:fill="auto"/>
            <w:vAlign w:val="center"/>
          </w:tcPr>
          <w:p>
            <w:pPr>
              <w:jc w:val="left"/>
              <w:rPr>
                <w:rFonts w:ascii="Times New Roman" w:hAnsi="Times New Roman" w:eastAsia="仿宋_GB2312" w:cs="Times New Roman"/>
                <w:sz w:val="24"/>
              </w:rPr>
            </w:pPr>
            <w:r>
              <w:rPr>
                <w:rFonts w:hint="eastAsia" w:ascii="Times New Roman" w:hAnsi="Times New Roman" w:eastAsia="仿宋_GB2312" w:cs="Times New Roman"/>
                <w:sz w:val="24"/>
                <w:szCs w:val="24"/>
              </w:rPr>
              <w:t>累计建成地下水动态监测井</w:t>
            </w:r>
          </w:p>
        </w:tc>
        <w:tc>
          <w:tcPr>
            <w:tcW w:w="765"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szCs w:val="24"/>
              </w:rPr>
              <w:t>个</w:t>
            </w:r>
          </w:p>
        </w:tc>
        <w:tc>
          <w:tcPr>
            <w:tcW w:w="1078"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20</w:t>
            </w:r>
          </w:p>
        </w:tc>
        <w:tc>
          <w:tcPr>
            <w:tcW w:w="99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szCs w:val="24"/>
              </w:rPr>
              <w:t>14</w:t>
            </w:r>
          </w:p>
        </w:tc>
        <w:tc>
          <w:tcPr>
            <w:tcW w:w="1187"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76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8</w:t>
            </w:r>
          </w:p>
        </w:tc>
        <w:tc>
          <w:tcPr>
            <w:tcW w:w="773" w:type="dxa"/>
            <w:vMerge w:val="restart"/>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综合治理</w:t>
            </w:r>
          </w:p>
        </w:tc>
        <w:tc>
          <w:tcPr>
            <w:tcW w:w="3435" w:type="dxa"/>
            <w:shd w:val="clear" w:color="auto" w:fill="auto"/>
            <w:vAlign w:val="center"/>
          </w:tcPr>
          <w:p>
            <w:pPr>
              <w:jc w:val="left"/>
              <w:rPr>
                <w:rFonts w:ascii="Times New Roman" w:hAnsi="Times New Roman" w:eastAsia="仿宋_GB2312" w:cs="Times New Roman"/>
                <w:sz w:val="24"/>
              </w:rPr>
            </w:pPr>
            <w:r>
              <w:rPr>
                <w:rFonts w:hint="eastAsia" w:ascii="Times New Roman" w:hAnsi="Times New Roman" w:eastAsia="仿宋_GB2312" w:cs="Times New Roman"/>
                <w:sz w:val="24"/>
              </w:rPr>
              <w:t>新增地质灾害隐患点处置率</w:t>
            </w:r>
          </w:p>
        </w:tc>
        <w:tc>
          <w:tcPr>
            <w:tcW w:w="765"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w:t>
            </w:r>
          </w:p>
        </w:tc>
        <w:tc>
          <w:tcPr>
            <w:tcW w:w="1078"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100</w:t>
            </w:r>
          </w:p>
        </w:tc>
        <w:tc>
          <w:tcPr>
            <w:tcW w:w="99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100</w:t>
            </w:r>
          </w:p>
        </w:tc>
        <w:tc>
          <w:tcPr>
            <w:tcW w:w="1187"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约束性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76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9</w:t>
            </w:r>
          </w:p>
        </w:tc>
        <w:tc>
          <w:tcPr>
            <w:tcW w:w="773" w:type="dxa"/>
            <w:vMerge w:val="continue"/>
            <w:shd w:val="clear" w:color="auto" w:fill="auto"/>
            <w:vAlign w:val="center"/>
          </w:tcPr>
          <w:p>
            <w:pPr>
              <w:jc w:val="center"/>
              <w:rPr>
                <w:rFonts w:ascii="Times New Roman" w:hAnsi="Times New Roman" w:eastAsia="仿宋_GB2312" w:cs="Times New Roman"/>
                <w:sz w:val="24"/>
              </w:rPr>
            </w:pPr>
          </w:p>
        </w:tc>
        <w:tc>
          <w:tcPr>
            <w:tcW w:w="3435" w:type="dxa"/>
            <w:shd w:val="clear" w:color="auto" w:fill="auto"/>
            <w:vAlign w:val="center"/>
          </w:tcPr>
          <w:p>
            <w:pPr>
              <w:jc w:val="left"/>
              <w:rPr>
                <w:rFonts w:ascii="Times New Roman" w:hAnsi="Times New Roman" w:eastAsia="仿宋_GB2312" w:cs="Times New Roman"/>
                <w:sz w:val="24"/>
              </w:rPr>
            </w:pPr>
            <w:r>
              <w:rPr>
                <w:rFonts w:hint="eastAsia" w:ascii="Times New Roman" w:hAnsi="Times New Roman" w:eastAsia="仿宋_GB2312" w:cs="Times New Roman"/>
                <w:sz w:val="24"/>
              </w:rPr>
              <w:t>完成综合治理</w:t>
            </w:r>
          </w:p>
        </w:tc>
        <w:tc>
          <w:tcPr>
            <w:tcW w:w="765"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处</w:t>
            </w:r>
          </w:p>
        </w:tc>
        <w:tc>
          <w:tcPr>
            <w:tcW w:w="1078"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w:t>
            </w:r>
          </w:p>
        </w:tc>
        <w:tc>
          <w:tcPr>
            <w:tcW w:w="99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11</w:t>
            </w:r>
          </w:p>
        </w:tc>
        <w:tc>
          <w:tcPr>
            <w:tcW w:w="1187"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jc w:val="center"/>
        </w:trPr>
        <w:tc>
          <w:tcPr>
            <w:tcW w:w="760" w:type="dxa"/>
            <w:shd w:val="clear" w:color="auto" w:fill="auto"/>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10</w:t>
            </w:r>
          </w:p>
        </w:tc>
        <w:tc>
          <w:tcPr>
            <w:tcW w:w="773"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数字管理</w:t>
            </w:r>
          </w:p>
        </w:tc>
        <w:tc>
          <w:tcPr>
            <w:tcW w:w="3435" w:type="dxa"/>
            <w:shd w:val="clear" w:color="auto" w:fill="auto"/>
            <w:vAlign w:val="center"/>
          </w:tcPr>
          <w:p>
            <w:pPr>
              <w:jc w:val="left"/>
              <w:rPr>
                <w:rFonts w:ascii="Times New Roman" w:hAnsi="Times New Roman" w:eastAsia="仿宋_GB2312" w:cs="Times New Roman"/>
                <w:sz w:val="24"/>
              </w:rPr>
            </w:pPr>
            <w:r>
              <w:rPr>
                <w:rFonts w:ascii="Times New Roman" w:hAnsi="Times New Roman" w:eastAsia="仿宋_GB2312" w:cs="Times New Roman"/>
                <w:sz w:val="24"/>
              </w:rPr>
              <w:t>“</w:t>
            </w:r>
            <w:r>
              <w:rPr>
                <w:rFonts w:hint="eastAsia" w:ascii="Times New Roman" w:hAnsi="Times New Roman" w:eastAsia="仿宋_GB2312" w:cs="Times New Roman"/>
                <w:sz w:val="24"/>
              </w:rPr>
              <w:t>地灾智防</w:t>
            </w:r>
            <w:r>
              <w:rPr>
                <w:rFonts w:ascii="Times New Roman" w:hAnsi="Times New Roman" w:eastAsia="仿宋_GB2312" w:cs="Times New Roman"/>
                <w:sz w:val="24"/>
              </w:rPr>
              <w:t>”APP</w:t>
            </w:r>
            <w:r>
              <w:rPr>
                <w:rFonts w:hint="eastAsia" w:ascii="Times New Roman" w:hAnsi="Times New Roman" w:eastAsia="仿宋_GB2312" w:cs="Times New Roman"/>
                <w:sz w:val="24"/>
              </w:rPr>
              <w:t>使用人数</w:t>
            </w:r>
          </w:p>
        </w:tc>
        <w:tc>
          <w:tcPr>
            <w:tcW w:w="765"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人</w:t>
            </w:r>
          </w:p>
        </w:tc>
        <w:tc>
          <w:tcPr>
            <w:tcW w:w="1078" w:type="dxa"/>
            <w:shd w:val="clear" w:color="auto" w:fill="auto"/>
            <w:vAlign w:val="center"/>
          </w:tcPr>
          <w:p>
            <w:pPr>
              <w:jc w:val="center"/>
              <w:rPr>
                <w:rFonts w:ascii="Times New Roman" w:hAnsi="Times New Roman" w:eastAsia="仿宋_GB2312" w:cs="Times New Roman"/>
                <w:sz w:val="24"/>
                <w:highlight w:val="yellow"/>
              </w:rPr>
            </w:pPr>
            <w:r>
              <w:rPr>
                <w:rFonts w:ascii="Times New Roman" w:hAnsi="Times New Roman" w:eastAsia="仿宋_GB2312" w:cs="Times New Roman"/>
                <w:sz w:val="24"/>
              </w:rPr>
              <w:t>100</w:t>
            </w:r>
          </w:p>
        </w:tc>
        <w:tc>
          <w:tcPr>
            <w:tcW w:w="990" w:type="dxa"/>
            <w:shd w:val="clear" w:color="auto" w:fill="auto"/>
            <w:vAlign w:val="center"/>
          </w:tcPr>
          <w:p>
            <w:pPr>
              <w:jc w:val="center"/>
              <w:rPr>
                <w:rFonts w:ascii="Times New Roman" w:hAnsi="Times New Roman" w:eastAsia="仿宋_GB2312" w:cs="Times New Roman"/>
                <w:sz w:val="24"/>
                <w:highlight w:val="yellow"/>
              </w:rPr>
            </w:pPr>
            <w:r>
              <w:rPr>
                <w:rFonts w:ascii="Times New Roman" w:hAnsi="Times New Roman" w:eastAsia="仿宋_GB2312" w:cs="Times New Roman"/>
                <w:sz w:val="24"/>
              </w:rPr>
              <w:t>200</w:t>
            </w:r>
          </w:p>
        </w:tc>
        <w:tc>
          <w:tcPr>
            <w:tcW w:w="1187"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sz w:val="24"/>
              </w:rPr>
              <w:t>预期性</w:t>
            </w:r>
          </w:p>
        </w:tc>
      </w:tr>
    </w:tbl>
    <w:p>
      <w:pPr>
        <w:snapToGrid w:val="0"/>
        <w:ind w:left="480" w:hanging="480" w:hangingChars="200"/>
        <w:jc w:val="left"/>
        <w:rPr>
          <w:rFonts w:ascii="Times New Roman" w:hAnsi="Times New Roman" w:eastAsia="仿宋_GB2312" w:cs="Times New Roman"/>
          <w:sz w:val="24"/>
        </w:rPr>
      </w:pPr>
      <w:r>
        <w:rPr>
          <w:rFonts w:ascii="Times New Roman" w:hAnsi="Times New Roman" w:eastAsia="仿宋_GB2312" w:cs="Times New Roman"/>
          <w:sz w:val="24"/>
        </w:rPr>
        <w:t>注：约束性指标，是指须严格管控，确保实现的指标；预期性指标，是指通过规划引导，力争实现的指标。</w:t>
      </w:r>
      <w:r>
        <w:rPr>
          <w:rFonts w:hint="eastAsia" w:ascii="Times New Roman" w:hAnsi="Times New Roman" w:eastAsia="仿宋_GB2312" w:cs="Times New Roman"/>
          <w:sz w:val="24"/>
        </w:rPr>
        <w:t>调查监测</w:t>
      </w:r>
      <w:r>
        <w:rPr>
          <w:rFonts w:ascii="Times New Roman" w:hAnsi="Times New Roman" w:eastAsia="仿宋_GB2312" w:cs="Times New Roman"/>
          <w:sz w:val="24"/>
        </w:rPr>
        <w:t>2020</w:t>
      </w:r>
      <w:r>
        <w:rPr>
          <w:rFonts w:hint="eastAsia" w:ascii="Times New Roman" w:hAnsi="Times New Roman" w:eastAsia="仿宋_GB2312" w:cs="Times New Roman"/>
          <w:sz w:val="24"/>
        </w:rPr>
        <w:t>年现状指标指的是已完成指标；县（市、区）地质灾害风险管控平台任务由省级统一建设。</w:t>
      </w:r>
      <w:bookmarkEnd w:id="13"/>
    </w:p>
    <w:bookmarkEnd w:id="14"/>
    <w:p>
      <w:pPr>
        <w:widowControl/>
        <w:jc w:val="left"/>
        <w:rPr>
          <w:rFonts w:ascii="Times New Roman" w:hAnsi="Times New Roman" w:eastAsia="仿宋" w:cs="黑体"/>
          <w:b/>
          <w:bCs/>
          <w:kern w:val="44"/>
          <w:sz w:val="32"/>
          <w:szCs w:val="32"/>
        </w:rPr>
      </w:pPr>
      <w:r>
        <w:rPr>
          <w:rFonts w:ascii="Times New Roman" w:hAnsi="Times New Roman" w:eastAsia="仿宋" w:cs="黑体"/>
          <w:sz w:val="32"/>
          <w:szCs w:val="32"/>
        </w:rPr>
        <w:br w:type="page"/>
      </w:r>
    </w:p>
    <w:p>
      <w:pPr>
        <w:widowControl/>
        <w:spacing w:line="600" w:lineRule="exact"/>
        <w:ind w:firstLine="640" w:firstLineChars="200"/>
        <w:jc w:val="left"/>
        <w:rPr>
          <w:rFonts w:ascii="Times New Roman" w:hAnsi="Times New Roman" w:eastAsia="黑体" w:cs="黑体"/>
          <w:sz w:val="32"/>
          <w:szCs w:val="32"/>
        </w:rPr>
      </w:pPr>
      <w:bookmarkStart w:id="15" w:name="_Toc74663424"/>
      <w:r>
        <w:rPr>
          <w:rFonts w:hint="eastAsia" w:ascii="Times New Roman" w:hAnsi="Times New Roman" w:eastAsia="黑体" w:cs="黑体"/>
          <w:sz w:val="32"/>
          <w:szCs w:val="32"/>
        </w:rPr>
        <w:t>四、加强地质灾害“三区一点”管理</w:t>
      </w:r>
      <w:bookmarkEnd w:id="15"/>
    </w:p>
    <w:p>
      <w:pPr>
        <w:pStyle w:val="11"/>
        <w:spacing w:before="0" w:after="0" w:line="600" w:lineRule="exact"/>
        <w:ind w:firstLine="643" w:firstLineChars="200"/>
        <w:jc w:val="left"/>
        <w:rPr>
          <w:rFonts w:ascii="Times New Roman" w:hAnsi="Times New Roman" w:eastAsia="楷体_GB2312" w:cs="仿宋_GB2312"/>
        </w:rPr>
      </w:pPr>
      <w:bookmarkStart w:id="16" w:name="_Toc74663425"/>
      <w:r>
        <w:rPr>
          <w:rFonts w:hint="eastAsia" w:ascii="Times New Roman" w:hAnsi="Times New Roman" w:eastAsia="楷体_GB2312" w:cs="仿宋_GB2312"/>
        </w:rPr>
        <w:t>（一）地质灾害易发区</w:t>
      </w:r>
      <w:bookmarkEnd w:id="16"/>
    </w:p>
    <w:p>
      <w:pPr>
        <w:pStyle w:val="22"/>
        <w:spacing w:before="0" w:beforeAutospacing="0" w:after="0" w:afterAutospacing="0" w:line="600" w:lineRule="exact"/>
        <w:ind w:firstLine="640"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地质灾害易发区指具备地质灾害发生的地质环境条件，容易或者可能发生地质灾害的区域，</w:t>
      </w:r>
      <w:r>
        <w:rPr>
          <w:rFonts w:hint="eastAsia" w:ascii="Times New Roman" w:hAnsi="Times New Roman" w:eastAsia="仿宋_GB2312"/>
          <w:kern w:val="2"/>
          <w:sz w:val="32"/>
          <w:szCs w:val="32"/>
        </w:rPr>
        <w:t>是地质灾害监测和防治的重点区域。</w:t>
      </w:r>
    </w:p>
    <w:p>
      <w:pPr>
        <w:spacing w:line="600" w:lineRule="exact"/>
        <w:ind w:firstLine="640" w:firstLineChars="200"/>
        <w:rPr>
          <w:rFonts w:ascii="Times New Roman" w:hAnsi="Times New Roman" w:eastAsia="仿宋_GB2312" w:cs="Times New Roman"/>
          <w:sz w:val="32"/>
          <w:szCs w:val="32"/>
        </w:rPr>
      </w:pPr>
      <w:bookmarkStart w:id="17" w:name="_Hlk71530542"/>
      <w:bookmarkStart w:id="18" w:name="_Hlk66830572"/>
      <w:r>
        <w:rPr>
          <w:rFonts w:hint="eastAsia" w:ascii="Times New Roman" w:hAnsi="Times New Roman" w:eastAsia="仿宋_GB2312" w:cs="Times New Roman"/>
          <w:sz w:val="32"/>
          <w:szCs w:val="32"/>
        </w:rPr>
        <w:t>在武义县地质灾害与地质环境保护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十三五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规划、农村山区地质灾害调查评价的基础上，综合现有地质灾害隐患点及地质灾害风险防范区分布发育特征，对具有相同或相近地质环境条件、地质灾害分布及发育特征的区域进行了调整，将全县划分为</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个地质灾害高易发区（</w:t>
      </w: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个中易发区（</w:t>
      </w:r>
      <w:r>
        <w:rPr>
          <w:rFonts w:ascii="Times New Roman" w:hAnsi="Times New Roman" w:eastAsia="仿宋_GB2312" w:cs="Times New Roman"/>
          <w:sz w:val="32"/>
          <w:szCs w:val="32"/>
        </w:rPr>
        <w:t>B)</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个低易发区（</w:t>
      </w:r>
      <w:r>
        <w:rPr>
          <w:rFonts w:ascii="Times New Roman" w:hAnsi="Times New Roman" w:eastAsia="仿宋_GB2312" w:cs="Times New Roman"/>
          <w:sz w:val="32"/>
          <w:szCs w:val="32"/>
        </w:rPr>
        <w:t>C</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个不易发区（</w:t>
      </w:r>
      <w:r>
        <w:rPr>
          <w:rFonts w:ascii="Times New Roman" w:hAnsi="Times New Roman" w:eastAsia="仿宋_GB2312" w:cs="Times New Roman"/>
          <w:sz w:val="32"/>
          <w:szCs w:val="32"/>
        </w:rPr>
        <w:t>D</w:t>
      </w:r>
      <w:r>
        <w:rPr>
          <w:rFonts w:hint="eastAsia" w:ascii="Times New Roman" w:hAnsi="Times New Roman" w:eastAsia="仿宋_GB2312" w:cs="Times New Roman"/>
          <w:sz w:val="32"/>
          <w:szCs w:val="32"/>
        </w:rPr>
        <w:t>）</w:t>
      </w:r>
      <w:bookmarkEnd w:id="17"/>
      <w:r>
        <w:rPr>
          <w:rFonts w:hint="eastAsia" w:ascii="Times New Roman" w:hAnsi="Times New Roman" w:eastAsia="仿宋_GB2312" w:cs="Times New Roman"/>
          <w:sz w:val="32"/>
          <w:szCs w:val="32"/>
        </w:rPr>
        <w:t>（附表</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bookmarkEnd w:id="18"/>
      <w:bookmarkStart w:id="19" w:name="_Hlk66830599"/>
    </w:p>
    <w:p>
      <w:pPr>
        <w:spacing w:line="600" w:lineRule="exact"/>
        <w:ind w:firstLine="643" w:firstLineChars="200"/>
        <w:rPr>
          <w:rFonts w:ascii="Times New Roman" w:hAnsi="Times New Roman" w:eastAsia="仿宋_GB2312" w:cs="Times New Roman"/>
          <w:b/>
          <w:bCs/>
          <w:sz w:val="32"/>
          <w:szCs w:val="32"/>
        </w:rPr>
      </w:pPr>
      <w:bookmarkStart w:id="20" w:name="_Hlk71530582"/>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、高易发区（</w:t>
      </w:r>
      <w:r>
        <w:rPr>
          <w:rFonts w:ascii="Times New Roman" w:hAnsi="Times New Roman" w:eastAsia="仿宋_GB2312" w:cs="Times New Roman"/>
          <w:b/>
          <w:bCs/>
          <w:sz w:val="32"/>
          <w:szCs w:val="32"/>
        </w:rPr>
        <w:t>A</w:t>
      </w:r>
      <w:r>
        <w:rPr>
          <w:rFonts w:hint="eastAsia" w:ascii="Times New Roman" w:hAnsi="Times New Roman" w:eastAsia="仿宋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全县共划定高易发区</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个，面积</w:t>
      </w:r>
      <w:r>
        <w:rPr>
          <w:rFonts w:ascii="Times New Roman" w:hAnsi="Times New Roman" w:eastAsia="仿宋_GB2312" w:cs="Times New Roman"/>
          <w:sz w:val="32"/>
          <w:szCs w:val="32"/>
        </w:rPr>
        <w:t>14.17</w:t>
      </w:r>
      <w:r>
        <w:rPr>
          <w:rFonts w:hint="eastAsia" w:ascii="Times New Roman" w:hAnsi="Times New Roman" w:eastAsia="仿宋_GB2312" w:cs="Times New Roman"/>
          <w:sz w:val="32"/>
          <w:szCs w:val="32"/>
        </w:rPr>
        <w:t>平方千米，占全县总面积的</w:t>
      </w:r>
      <w:r>
        <w:rPr>
          <w:rFonts w:ascii="Times New Roman" w:hAnsi="Times New Roman" w:eastAsia="仿宋_GB2312" w:cs="Times New Roman"/>
          <w:sz w:val="32"/>
          <w:szCs w:val="32"/>
        </w:rPr>
        <w:t>0.9%</w:t>
      </w:r>
      <w:r>
        <w:rPr>
          <w:rFonts w:hint="eastAsia" w:ascii="Times New Roman" w:hAnsi="Times New Roman" w:eastAsia="仿宋_GB2312" w:cs="Times New Roman"/>
          <w:sz w:val="32"/>
          <w:szCs w:val="32"/>
        </w:rPr>
        <w:t>。分布于王宅镇石彭头—新宅镇矿洪，俞源乡黄家里—坦洪乡上陶，柳城镇新塘后，大溪口乡龙潭脚—大溪口。区内有地质灾害风险点</w:t>
      </w:r>
      <w:r>
        <w:rPr>
          <w:rFonts w:ascii="Times New Roman" w:hAnsi="Times New Roman" w:eastAsia="仿宋_GB2312" w:cs="Times New Roman"/>
          <w:sz w:val="32"/>
          <w:szCs w:val="32"/>
        </w:rPr>
        <w:t>14</w:t>
      </w:r>
      <w:r>
        <w:rPr>
          <w:rFonts w:hint="eastAsia" w:ascii="Times New Roman" w:hAnsi="Times New Roman" w:eastAsia="仿宋_GB2312" w:cs="Times New Roman"/>
          <w:sz w:val="32"/>
          <w:szCs w:val="32"/>
        </w:rPr>
        <w:t>处，影响人数</w:t>
      </w:r>
      <w:r>
        <w:rPr>
          <w:rFonts w:ascii="Times New Roman" w:hAnsi="Times New Roman" w:eastAsia="仿宋_GB2312" w:cs="Times New Roman"/>
          <w:sz w:val="32"/>
          <w:szCs w:val="32"/>
        </w:rPr>
        <w:t>175</w:t>
      </w:r>
      <w:r>
        <w:rPr>
          <w:rFonts w:hint="eastAsia" w:ascii="Times New Roman" w:hAnsi="Times New Roman" w:eastAsia="仿宋_GB2312" w:cs="Times New Roman"/>
          <w:sz w:val="32"/>
          <w:szCs w:val="32"/>
        </w:rPr>
        <w:t>人。</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、中易发区（</w:t>
      </w:r>
      <w:r>
        <w:rPr>
          <w:rFonts w:ascii="Times New Roman" w:hAnsi="Times New Roman" w:eastAsia="仿宋_GB2312" w:cs="Times New Roman"/>
          <w:b/>
          <w:bCs/>
          <w:sz w:val="32"/>
          <w:szCs w:val="32"/>
        </w:rPr>
        <w:t>B</w:t>
      </w:r>
      <w:r>
        <w:rPr>
          <w:rFonts w:hint="eastAsia" w:ascii="Times New Roman" w:hAnsi="Times New Roman" w:eastAsia="仿宋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共划定中易发区</w:t>
      </w: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个，面积约</w:t>
      </w:r>
      <w:r>
        <w:rPr>
          <w:rFonts w:ascii="Times New Roman" w:hAnsi="Times New Roman" w:eastAsia="仿宋_GB2312" w:cs="Times New Roman"/>
          <w:sz w:val="32"/>
          <w:szCs w:val="32"/>
        </w:rPr>
        <w:t>100.46</w:t>
      </w:r>
      <w:r>
        <w:rPr>
          <w:rFonts w:hint="eastAsia" w:ascii="Times New Roman" w:hAnsi="Times New Roman" w:eastAsia="仿宋_GB2312" w:cs="Times New Roman"/>
          <w:sz w:val="32"/>
          <w:szCs w:val="32"/>
        </w:rPr>
        <w:t>平方千米，占全县总面积的</w:t>
      </w:r>
      <w:r>
        <w:rPr>
          <w:rFonts w:ascii="Times New Roman" w:hAnsi="Times New Roman" w:eastAsia="仿宋_GB2312" w:cs="Times New Roman"/>
          <w:sz w:val="32"/>
          <w:szCs w:val="32"/>
        </w:rPr>
        <w:t>6.37%</w:t>
      </w:r>
      <w:r>
        <w:rPr>
          <w:rFonts w:hint="eastAsia" w:ascii="Times New Roman" w:hAnsi="Times New Roman" w:eastAsia="仿宋_GB2312" w:cs="Times New Roman"/>
          <w:sz w:val="32"/>
          <w:szCs w:val="32"/>
        </w:rPr>
        <w:t>。主要分布白洋街道、壶山街道、桃溪镇、柳城镇、新宅镇。区内有地质灾害隐患点</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处，占总数的</w:t>
      </w:r>
      <w:r>
        <w:rPr>
          <w:rFonts w:ascii="Times New Roman" w:hAnsi="Times New Roman" w:eastAsia="仿宋_GB2312" w:cs="Times New Roman"/>
          <w:sz w:val="32"/>
          <w:szCs w:val="32"/>
        </w:rPr>
        <w:t>73.33%</w:t>
      </w:r>
      <w:r>
        <w:rPr>
          <w:rFonts w:hint="eastAsia" w:ascii="Times New Roman" w:hAnsi="Times New Roman" w:eastAsia="仿宋_GB2312" w:cs="Times New Roman"/>
          <w:sz w:val="32"/>
          <w:szCs w:val="32"/>
        </w:rPr>
        <w:t>，威胁财产</w:t>
      </w:r>
      <w:r>
        <w:rPr>
          <w:rFonts w:ascii="Times New Roman" w:hAnsi="Times New Roman" w:eastAsia="仿宋_GB2312" w:cs="Times New Roman"/>
          <w:sz w:val="32"/>
          <w:szCs w:val="32"/>
        </w:rPr>
        <w:t>1120</w:t>
      </w:r>
      <w:r>
        <w:rPr>
          <w:rFonts w:hint="eastAsia" w:ascii="Times New Roman" w:hAnsi="Times New Roman" w:eastAsia="仿宋_GB2312" w:cs="Times New Roman"/>
          <w:sz w:val="32"/>
          <w:szCs w:val="32"/>
        </w:rPr>
        <w:t>万元。有地质灾害风险点</w:t>
      </w:r>
      <w:r>
        <w:rPr>
          <w:rFonts w:ascii="Times New Roman" w:hAnsi="Times New Roman" w:eastAsia="仿宋_GB2312" w:cs="Times New Roman"/>
          <w:sz w:val="32"/>
          <w:szCs w:val="32"/>
        </w:rPr>
        <w:t>41</w:t>
      </w:r>
      <w:r>
        <w:rPr>
          <w:rFonts w:hint="eastAsia" w:ascii="Times New Roman" w:hAnsi="Times New Roman" w:eastAsia="仿宋_GB2312" w:cs="Times New Roman"/>
          <w:sz w:val="32"/>
          <w:szCs w:val="32"/>
        </w:rPr>
        <w:t>处，影响人数</w:t>
      </w:r>
      <w:r>
        <w:rPr>
          <w:rFonts w:ascii="Times New Roman" w:hAnsi="Times New Roman" w:eastAsia="仿宋_GB2312" w:cs="Times New Roman"/>
          <w:sz w:val="32"/>
          <w:szCs w:val="32"/>
        </w:rPr>
        <w:t>189</w:t>
      </w:r>
      <w:r>
        <w:rPr>
          <w:rFonts w:hint="eastAsia" w:ascii="Times New Roman" w:hAnsi="Times New Roman" w:eastAsia="仿宋_GB2312" w:cs="Times New Roman"/>
          <w:sz w:val="32"/>
          <w:szCs w:val="32"/>
        </w:rPr>
        <w:t>人。</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、低易发区（</w:t>
      </w:r>
      <w:r>
        <w:rPr>
          <w:rFonts w:ascii="Times New Roman" w:hAnsi="Times New Roman" w:eastAsia="仿宋_GB2312" w:cs="Times New Roman"/>
          <w:b/>
          <w:bCs/>
          <w:sz w:val="32"/>
          <w:szCs w:val="32"/>
        </w:rPr>
        <w:t>C</w:t>
      </w:r>
      <w:r>
        <w:rPr>
          <w:rFonts w:hint="eastAsia" w:ascii="Times New Roman" w:hAnsi="Times New Roman" w:eastAsia="仿宋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共划定低易发区</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个，面积约</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lang w:val="en-US" w:eastAsia="zh-CN"/>
        </w:rPr>
        <w:t>45.52</w:t>
      </w:r>
      <w:r>
        <w:rPr>
          <w:rFonts w:hint="eastAsia" w:ascii="Times New Roman" w:hAnsi="Times New Roman" w:eastAsia="仿宋_GB2312" w:cs="Times New Roman"/>
          <w:sz w:val="32"/>
          <w:szCs w:val="32"/>
        </w:rPr>
        <w:t>平方千米，占全县总面积的</w:t>
      </w:r>
      <w:r>
        <w:rPr>
          <w:rFonts w:ascii="Times New Roman" w:hAnsi="Times New Roman" w:eastAsia="仿宋_GB2312" w:cs="Times New Roman"/>
          <w:sz w:val="32"/>
          <w:szCs w:val="32"/>
        </w:rPr>
        <w:t>79.2%</w:t>
      </w:r>
      <w:r>
        <w:rPr>
          <w:rFonts w:hint="eastAsia" w:ascii="Times New Roman" w:hAnsi="Times New Roman" w:eastAsia="仿宋_GB2312" w:cs="Times New Roman"/>
          <w:sz w:val="32"/>
          <w:szCs w:val="32"/>
        </w:rPr>
        <w:t>。全县各行政区均有分布，区内有地质灾害隐患点</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处，占总数的</w:t>
      </w:r>
      <w:r>
        <w:rPr>
          <w:rFonts w:ascii="Times New Roman" w:hAnsi="Times New Roman" w:eastAsia="仿宋_GB2312" w:cs="Times New Roman"/>
          <w:sz w:val="32"/>
          <w:szCs w:val="32"/>
        </w:rPr>
        <w:t>26.67%</w:t>
      </w:r>
      <w:r>
        <w:rPr>
          <w:rFonts w:hint="eastAsia" w:ascii="Times New Roman" w:hAnsi="Times New Roman" w:eastAsia="仿宋_GB2312" w:cs="Times New Roman"/>
          <w:sz w:val="32"/>
          <w:szCs w:val="32"/>
        </w:rPr>
        <w:t>，威胁财产</w:t>
      </w:r>
      <w:r>
        <w:rPr>
          <w:rFonts w:ascii="Times New Roman" w:hAnsi="Times New Roman" w:eastAsia="仿宋_GB2312" w:cs="Times New Roman"/>
          <w:sz w:val="32"/>
          <w:szCs w:val="32"/>
        </w:rPr>
        <w:t>190</w:t>
      </w:r>
      <w:r>
        <w:rPr>
          <w:rFonts w:hint="eastAsia" w:ascii="Times New Roman" w:hAnsi="Times New Roman" w:eastAsia="仿宋_GB2312" w:cs="Times New Roman"/>
          <w:sz w:val="32"/>
          <w:szCs w:val="32"/>
        </w:rPr>
        <w:t>万元。有地质灾害风险点</w:t>
      </w:r>
      <w:r>
        <w:rPr>
          <w:rFonts w:ascii="Times New Roman" w:hAnsi="Times New Roman" w:eastAsia="仿宋_GB2312" w:cs="Times New Roman"/>
          <w:sz w:val="32"/>
          <w:szCs w:val="32"/>
        </w:rPr>
        <w:t>120</w:t>
      </w:r>
      <w:r>
        <w:rPr>
          <w:rFonts w:hint="eastAsia" w:ascii="Times New Roman" w:hAnsi="Times New Roman" w:eastAsia="仿宋_GB2312" w:cs="Times New Roman"/>
          <w:sz w:val="32"/>
          <w:szCs w:val="32"/>
        </w:rPr>
        <w:t>处，影响人数</w:t>
      </w:r>
      <w:r>
        <w:rPr>
          <w:rFonts w:ascii="Times New Roman" w:hAnsi="Times New Roman" w:eastAsia="仿宋_GB2312" w:cs="Times New Roman"/>
          <w:sz w:val="32"/>
          <w:szCs w:val="32"/>
        </w:rPr>
        <w:t>876</w:t>
      </w:r>
      <w:r>
        <w:rPr>
          <w:rFonts w:hint="eastAsia" w:ascii="Times New Roman" w:hAnsi="Times New Roman" w:eastAsia="仿宋_GB2312" w:cs="Times New Roman"/>
          <w:sz w:val="32"/>
          <w:szCs w:val="32"/>
        </w:rPr>
        <w:t>人。</w:t>
      </w:r>
    </w:p>
    <w:bookmarkEnd w:id="20"/>
    <w:p>
      <w:pPr>
        <w:spacing w:line="600" w:lineRule="exact"/>
        <w:ind w:firstLine="643" w:firstLineChars="200"/>
        <w:rPr>
          <w:rFonts w:ascii="Times New Roman" w:hAnsi="Times New Roman" w:eastAsia="仿宋_GB2312" w:cs="Times New Roman"/>
          <w:b/>
          <w:bCs/>
          <w:sz w:val="32"/>
          <w:szCs w:val="32"/>
        </w:rPr>
      </w:pPr>
      <w:bookmarkStart w:id="21" w:name="_Hlk71530613"/>
      <w:r>
        <w:rPr>
          <w:rFonts w:ascii="Times New Roman" w:hAnsi="Times New Roman" w:eastAsia="仿宋_GB2312" w:cs="Times New Roman"/>
          <w:b/>
          <w:bCs/>
          <w:sz w:val="32"/>
          <w:szCs w:val="32"/>
        </w:rPr>
        <w:t>4</w:t>
      </w:r>
      <w:r>
        <w:rPr>
          <w:rFonts w:hint="eastAsia" w:ascii="Times New Roman" w:hAnsi="Times New Roman" w:eastAsia="仿宋_GB2312" w:cs="Times New Roman"/>
          <w:b/>
          <w:bCs/>
          <w:sz w:val="32"/>
          <w:szCs w:val="32"/>
        </w:rPr>
        <w:t>、不易发区（</w:t>
      </w:r>
      <w:r>
        <w:rPr>
          <w:rFonts w:ascii="Times New Roman" w:hAnsi="Times New Roman" w:eastAsia="仿宋_GB2312" w:cs="Times New Roman"/>
          <w:b/>
          <w:bCs/>
          <w:sz w:val="32"/>
          <w:szCs w:val="32"/>
        </w:rPr>
        <w:t>D</w:t>
      </w:r>
      <w:r>
        <w:rPr>
          <w:rFonts w:hint="eastAsia" w:ascii="Times New Roman" w:hAnsi="Times New Roman" w:eastAsia="仿宋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共划定不易发区</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个，面积约</w:t>
      </w:r>
      <w:r>
        <w:rPr>
          <w:rFonts w:hint="eastAsia" w:ascii="Times New Roman" w:hAnsi="Times New Roman" w:eastAsia="仿宋_GB2312" w:cs="Times New Roman"/>
          <w:sz w:val="32"/>
          <w:szCs w:val="32"/>
          <w:lang w:val="en-US" w:eastAsia="zh-CN"/>
        </w:rPr>
        <w:t>223.54</w:t>
      </w:r>
      <w:r>
        <w:rPr>
          <w:rFonts w:hint="eastAsia" w:ascii="Times New Roman" w:hAnsi="Times New Roman" w:eastAsia="仿宋_GB2312" w:cs="Times New Roman"/>
          <w:sz w:val="32"/>
          <w:szCs w:val="32"/>
        </w:rPr>
        <w:t>平方千米，占全县面积的</w:t>
      </w:r>
      <w:r>
        <w:rPr>
          <w:rFonts w:ascii="Times New Roman" w:hAnsi="Times New Roman" w:eastAsia="仿宋_GB2312" w:cs="Times New Roman"/>
          <w:sz w:val="32"/>
          <w:szCs w:val="32"/>
        </w:rPr>
        <w:t>13.53%</w:t>
      </w:r>
      <w:r>
        <w:rPr>
          <w:rFonts w:hint="eastAsia" w:ascii="Times New Roman" w:hAnsi="Times New Roman" w:eastAsia="仿宋_GB2312" w:cs="Times New Roman"/>
          <w:sz w:val="32"/>
          <w:szCs w:val="32"/>
        </w:rPr>
        <w:t>，主要分布在武义盆地和宣平盆地的河谷平原地带。区内有地质灾害风险点</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处，影响人数</w:t>
      </w:r>
      <w:r>
        <w:rPr>
          <w:rFonts w:ascii="Times New Roman" w:hAnsi="Times New Roman" w:eastAsia="仿宋_GB2312" w:cs="Times New Roman"/>
          <w:sz w:val="32"/>
          <w:szCs w:val="32"/>
        </w:rPr>
        <w:t>104</w:t>
      </w:r>
      <w:r>
        <w:rPr>
          <w:rFonts w:hint="eastAsia" w:ascii="Times New Roman" w:hAnsi="Times New Roman" w:eastAsia="仿宋_GB2312" w:cs="Times New Roman"/>
          <w:sz w:val="32"/>
          <w:szCs w:val="32"/>
        </w:rPr>
        <w:t>人</w:t>
      </w:r>
      <w:bookmarkEnd w:id="21"/>
      <w:r>
        <w:rPr>
          <w:rFonts w:hint="eastAsia" w:ascii="Times New Roman" w:hAnsi="Times New Roman" w:eastAsia="仿宋_GB2312" w:cs="Times New Roman"/>
          <w:sz w:val="32"/>
          <w:szCs w:val="32"/>
        </w:rPr>
        <w:t>。</w:t>
      </w:r>
    </w:p>
    <w:bookmarkEnd w:id="19"/>
    <w:p>
      <w:pPr>
        <w:pStyle w:val="11"/>
        <w:spacing w:before="0" w:after="0" w:line="600" w:lineRule="exact"/>
        <w:ind w:firstLine="643" w:firstLineChars="200"/>
        <w:jc w:val="left"/>
        <w:rPr>
          <w:rFonts w:ascii="Times New Roman" w:hAnsi="Times New Roman" w:eastAsia="楷体_GB2312" w:cs="仿宋_GB2312"/>
        </w:rPr>
      </w:pPr>
      <w:bookmarkStart w:id="22" w:name="_Toc74663426"/>
      <w:bookmarkStart w:id="23" w:name="_Toc58400978"/>
      <w:bookmarkStart w:id="24" w:name="_Hlk66830633"/>
      <w:r>
        <w:rPr>
          <w:rFonts w:hint="eastAsia" w:ascii="Times New Roman" w:hAnsi="Times New Roman" w:eastAsia="楷体_GB2312" w:cs="仿宋_GB2312"/>
        </w:rPr>
        <w:t>（二）地质灾害重点防治区</w:t>
      </w:r>
      <w:bookmarkEnd w:id="22"/>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根据地质灾害易发区划分结果，重点考虑地质灾害对人民生命财产及工农业生产所造成的影响划分重点防治区。武义县共划分为</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个重点防治区（Ⅰ）、</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个次重点防治区（Ⅱ）和</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个一般防治区（Ⅲ）（附表</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、白阳山重点防治区（Ⅰ</w:t>
      </w: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该区位于白洋街道白阳山一带，面积</w:t>
      </w:r>
      <w:r>
        <w:rPr>
          <w:rFonts w:ascii="Times New Roman" w:hAnsi="Times New Roman" w:eastAsia="仿宋_GB2312" w:cs="Times New Roman"/>
          <w:sz w:val="32"/>
          <w:szCs w:val="32"/>
        </w:rPr>
        <w:t>6.34</w:t>
      </w:r>
      <w:r>
        <w:rPr>
          <w:rFonts w:hint="eastAsia" w:ascii="Times New Roman" w:hAnsi="Times New Roman" w:eastAsia="仿宋_GB2312" w:cs="Times New Roman"/>
          <w:sz w:val="32"/>
          <w:szCs w:val="32"/>
        </w:rPr>
        <w:t>平方千米。现有小型地面塌陷隐患点</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处，危害程度为较大级；威胁财产</w:t>
      </w:r>
      <w:r>
        <w:rPr>
          <w:rFonts w:ascii="Times New Roman" w:hAnsi="Times New Roman" w:eastAsia="仿宋_GB2312" w:cs="Times New Roman"/>
          <w:sz w:val="32"/>
          <w:szCs w:val="32"/>
        </w:rPr>
        <w:t>350</w:t>
      </w:r>
      <w:r>
        <w:rPr>
          <w:rFonts w:hint="eastAsia" w:ascii="Times New Roman" w:hAnsi="Times New Roman" w:eastAsia="仿宋_GB2312" w:cs="Times New Roman"/>
          <w:sz w:val="32"/>
          <w:szCs w:val="32"/>
        </w:rPr>
        <w:t>万元。区内有一般防范区</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处，影响财产</w:t>
      </w:r>
      <w:r>
        <w:rPr>
          <w:rFonts w:ascii="Times New Roman" w:hAnsi="Times New Roman" w:eastAsia="仿宋_GB2312" w:cs="Times New Roman"/>
          <w:sz w:val="32"/>
          <w:szCs w:val="32"/>
        </w:rPr>
        <w:t>1150</w:t>
      </w:r>
      <w:r>
        <w:rPr>
          <w:rFonts w:hint="eastAsia" w:ascii="Times New Roman" w:hAnsi="Times New Roman" w:eastAsia="仿宋_GB2312" w:cs="Times New Roman"/>
          <w:sz w:val="32"/>
          <w:szCs w:val="32"/>
        </w:rPr>
        <w:t>万元。</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、平头—矿洪重点防治区（Ⅰ</w:t>
      </w: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该区位于王宅镇平头—新宅镇矿洪一带，面积</w:t>
      </w:r>
      <w:r>
        <w:rPr>
          <w:rFonts w:ascii="Times New Roman" w:hAnsi="Times New Roman" w:eastAsia="仿宋_GB2312" w:cs="Times New Roman"/>
          <w:sz w:val="32"/>
          <w:szCs w:val="32"/>
        </w:rPr>
        <w:t>12.02</w:t>
      </w:r>
      <w:r>
        <w:rPr>
          <w:rFonts w:hint="eastAsia" w:ascii="Times New Roman" w:hAnsi="Times New Roman" w:eastAsia="仿宋_GB2312" w:cs="Times New Roman"/>
          <w:sz w:val="32"/>
          <w:szCs w:val="32"/>
        </w:rPr>
        <w:t>平方千米。区内现有小型崩塌隐患点</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处，危害程度为一般级，威胁财产</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万元。区内有一般防范区</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处，影响人口</w:t>
      </w:r>
      <w:r>
        <w:rPr>
          <w:rFonts w:ascii="Times New Roman" w:hAnsi="Times New Roman" w:eastAsia="仿宋_GB2312" w:cs="Times New Roman"/>
          <w:sz w:val="32"/>
          <w:szCs w:val="32"/>
        </w:rPr>
        <w:t>22</w:t>
      </w:r>
      <w:r>
        <w:rPr>
          <w:rFonts w:hint="eastAsia" w:ascii="Times New Roman" w:hAnsi="Times New Roman" w:eastAsia="仿宋_GB2312" w:cs="Times New Roman"/>
          <w:sz w:val="32"/>
          <w:szCs w:val="32"/>
        </w:rPr>
        <w:t>人，财产</w:t>
      </w:r>
      <w:r>
        <w:rPr>
          <w:rFonts w:ascii="Times New Roman" w:hAnsi="Times New Roman" w:eastAsia="仿宋_GB2312" w:cs="Times New Roman"/>
          <w:sz w:val="32"/>
          <w:szCs w:val="32"/>
        </w:rPr>
        <w:t>71</w:t>
      </w:r>
      <w:r>
        <w:rPr>
          <w:rFonts w:hint="eastAsia" w:ascii="Times New Roman" w:hAnsi="Times New Roman" w:eastAsia="仿宋_GB2312" w:cs="Times New Roman"/>
          <w:sz w:val="32"/>
          <w:szCs w:val="32"/>
        </w:rPr>
        <w:t>万元。</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、黄家里—上江重点防治区（Ⅰ</w:t>
      </w: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该区位于俞源乡黄家里—上江一带，面积</w:t>
      </w:r>
      <w:r>
        <w:rPr>
          <w:rFonts w:ascii="Times New Roman" w:hAnsi="Times New Roman" w:eastAsia="仿宋_GB2312" w:cs="Times New Roman"/>
          <w:sz w:val="32"/>
          <w:szCs w:val="32"/>
        </w:rPr>
        <w:t>14.34</w:t>
      </w:r>
      <w:r>
        <w:rPr>
          <w:rFonts w:hint="eastAsia" w:ascii="Times New Roman" w:hAnsi="Times New Roman" w:eastAsia="仿宋_GB2312" w:cs="Times New Roman"/>
          <w:sz w:val="32"/>
          <w:szCs w:val="32"/>
        </w:rPr>
        <w:t>平方千米。区内一般风险防范区</w:t>
      </w:r>
      <w:r>
        <w:rPr>
          <w:rFonts w:ascii="Times New Roman" w:hAnsi="Times New Roman" w:eastAsia="仿宋_GB2312" w:cs="Times New Roman"/>
          <w:sz w:val="32"/>
          <w:szCs w:val="32"/>
        </w:rPr>
        <w:t>7</w:t>
      </w:r>
      <w:r>
        <w:rPr>
          <w:rFonts w:hint="eastAsia" w:ascii="Times New Roman" w:hAnsi="Times New Roman" w:eastAsia="仿宋_GB2312" w:cs="Times New Roman"/>
          <w:sz w:val="32"/>
          <w:szCs w:val="32"/>
        </w:rPr>
        <w:t>处，次重点防范区</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处，共影响人口</w:t>
      </w:r>
      <w:r>
        <w:rPr>
          <w:rFonts w:ascii="Times New Roman" w:hAnsi="Times New Roman" w:eastAsia="仿宋_GB2312" w:cs="Times New Roman"/>
          <w:sz w:val="32"/>
          <w:szCs w:val="32"/>
        </w:rPr>
        <w:t>38</w:t>
      </w:r>
      <w:r>
        <w:rPr>
          <w:rFonts w:hint="eastAsia" w:ascii="Times New Roman" w:hAnsi="Times New Roman" w:eastAsia="仿宋_GB2312" w:cs="Times New Roman"/>
          <w:sz w:val="32"/>
          <w:szCs w:val="32"/>
        </w:rPr>
        <w:t>人，财产</w:t>
      </w:r>
      <w:r>
        <w:rPr>
          <w:rFonts w:ascii="Times New Roman" w:hAnsi="Times New Roman" w:eastAsia="仿宋_GB2312" w:cs="Times New Roman"/>
          <w:sz w:val="32"/>
          <w:szCs w:val="32"/>
        </w:rPr>
        <w:t>318</w:t>
      </w:r>
      <w:r>
        <w:rPr>
          <w:rFonts w:hint="eastAsia" w:ascii="Times New Roman" w:hAnsi="Times New Roman" w:eastAsia="仿宋_GB2312" w:cs="Times New Roman"/>
          <w:sz w:val="32"/>
          <w:szCs w:val="32"/>
        </w:rPr>
        <w:t>万元。</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4</w:t>
      </w:r>
      <w:r>
        <w:rPr>
          <w:rFonts w:hint="eastAsia" w:ascii="Times New Roman" w:hAnsi="Times New Roman" w:eastAsia="仿宋_GB2312" w:cs="Times New Roman"/>
          <w:b/>
          <w:bCs/>
          <w:sz w:val="32"/>
          <w:szCs w:val="32"/>
        </w:rPr>
        <w:t>、上黄—石门洲重点防治区（Ⅰ</w:t>
      </w:r>
      <w:r>
        <w:rPr>
          <w:rFonts w:ascii="Times New Roman" w:hAnsi="Times New Roman" w:eastAsia="仿宋_GB2312" w:cs="Times New Roman"/>
          <w:b/>
          <w:bCs/>
          <w:sz w:val="32"/>
          <w:szCs w:val="32"/>
        </w:rPr>
        <w:t>4</w:t>
      </w:r>
      <w:r>
        <w:rPr>
          <w:rFonts w:hint="eastAsia" w:ascii="Times New Roman" w:hAnsi="Times New Roman" w:eastAsia="仿宋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该区位于柳城镇上黄—石门洲一带，面积</w:t>
      </w:r>
      <w:r>
        <w:rPr>
          <w:rFonts w:ascii="Times New Roman" w:hAnsi="Times New Roman" w:eastAsia="仿宋_GB2312" w:cs="Times New Roman"/>
          <w:sz w:val="32"/>
          <w:szCs w:val="32"/>
        </w:rPr>
        <w:t>30.66</w:t>
      </w:r>
      <w:r>
        <w:rPr>
          <w:rFonts w:hint="eastAsia" w:ascii="Times New Roman" w:hAnsi="Times New Roman" w:eastAsia="仿宋_GB2312" w:cs="Times New Roman"/>
          <w:sz w:val="32"/>
          <w:szCs w:val="32"/>
        </w:rPr>
        <w:t>平方千米。区内现有大型滑坡</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处，危害程度较大级，威胁财产</w:t>
      </w:r>
      <w:r>
        <w:rPr>
          <w:rFonts w:ascii="Times New Roman" w:hAnsi="Times New Roman" w:eastAsia="仿宋_GB2312" w:cs="Times New Roman"/>
          <w:sz w:val="32"/>
          <w:szCs w:val="32"/>
        </w:rPr>
        <w:t>200</w:t>
      </w:r>
      <w:r>
        <w:rPr>
          <w:rFonts w:hint="eastAsia" w:ascii="Times New Roman" w:hAnsi="Times New Roman" w:eastAsia="仿宋_GB2312" w:cs="Times New Roman"/>
          <w:sz w:val="32"/>
          <w:szCs w:val="32"/>
        </w:rPr>
        <w:t>万元。区内有一般风险区</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处，次重点防范区</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处，共影响人口</w:t>
      </w:r>
      <w:r>
        <w:rPr>
          <w:rFonts w:ascii="Times New Roman" w:hAnsi="Times New Roman" w:eastAsia="仿宋_GB2312" w:cs="Times New Roman"/>
          <w:sz w:val="32"/>
          <w:szCs w:val="32"/>
        </w:rPr>
        <w:t>44</w:t>
      </w:r>
      <w:r>
        <w:rPr>
          <w:rFonts w:hint="eastAsia" w:ascii="Times New Roman" w:hAnsi="Times New Roman" w:eastAsia="仿宋_GB2312" w:cs="Times New Roman"/>
          <w:sz w:val="32"/>
          <w:szCs w:val="32"/>
        </w:rPr>
        <w:t>人，财产</w:t>
      </w:r>
      <w:r>
        <w:rPr>
          <w:rFonts w:ascii="Times New Roman" w:hAnsi="Times New Roman" w:eastAsia="仿宋_GB2312" w:cs="Times New Roman"/>
          <w:sz w:val="32"/>
          <w:szCs w:val="32"/>
        </w:rPr>
        <w:t>264</w:t>
      </w:r>
      <w:r>
        <w:rPr>
          <w:rFonts w:hint="eastAsia" w:ascii="Times New Roman" w:hAnsi="Times New Roman" w:eastAsia="仿宋_GB2312" w:cs="Times New Roman"/>
          <w:sz w:val="32"/>
          <w:szCs w:val="32"/>
        </w:rPr>
        <w:t>万元。</w:t>
      </w:r>
    </w:p>
    <w:p>
      <w:pPr>
        <w:spacing w:line="60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5</w:t>
      </w:r>
      <w:r>
        <w:rPr>
          <w:rFonts w:hint="eastAsia" w:ascii="Times New Roman" w:hAnsi="Times New Roman" w:eastAsia="仿宋_GB2312" w:cs="Times New Roman"/>
          <w:b/>
          <w:bCs/>
          <w:sz w:val="32"/>
          <w:szCs w:val="32"/>
        </w:rPr>
        <w:t>、曾公—桥头重点防治区（Ⅰ</w:t>
      </w:r>
      <w:r>
        <w:rPr>
          <w:rFonts w:ascii="Times New Roman" w:hAnsi="Times New Roman" w:eastAsia="仿宋_GB2312" w:cs="Times New Roman"/>
          <w:b/>
          <w:bCs/>
          <w:sz w:val="32"/>
          <w:szCs w:val="32"/>
        </w:rPr>
        <w:t>5</w:t>
      </w:r>
      <w:r>
        <w:rPr>
          <w:rFonts w:hint="eastAsia" w:ascii="Times New Roman" w:hAnsi="Times New Roman" w:eastAsia="仿宋_GB2312" w:cs="Times New Roman"/>
          <w:b/>
          <w:bCs/>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该区位于大溪口乡曾公—桥头一带，面积</w:t>
      </w:r>
      <w:r>
        <w:rPr>
          <w:rFonts w:ascii="Times New Roman" w:hAnsi="Times New Roman" w:eastAsia="仿宋_GB2312" w:cs="Times New Roman"/>
          <w:sz w:val="32"/>
          <w:szCs w:val="32"/>
        </w:rPr>
        <w:t>8.75</w:t>
      </w:r>
      <w:r>
        <w:rPr>
          <w:rFonts w:hint="eastAsia" w:ascii="Times New Roman" w:hAnsi="Times New Roman" w:eastAsia="仿宋_GB2312" w:cs="Times New Roman"/>
          <w:sz w:val="32"/>
          <w:szCs w:val="32"/>
        </w:rPr>
        <w:t>平方千米，以地质灾害高易发区为主。区内有一般防范区</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处，次重点防范区</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处，重点防范区</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处，共影响人口</w:t>
      </w:r>
      <w:r>
        <w:rPr>
          <w:rFonts w:ascii="Times New Roman" w:hAnsi="Times New Roman" w:eastAsia="仿宋_GB2312" w:cs="Times New Roman"/>
          <w:sz w:val="32"/>
          <w:szCs w:val="32"/>
        </w:rPr>
        <w:t>163</w:t>
      </w:r>
      <w:r>
        <w:rPr>
          <w:rFonts w:hint="eastAsia" w:ascii="Times New Roman" w:hAnsi="Times New Roman" w:eastAsia="仿宋_GB2312" w:cs="Times New Roman"/>
          <w:sz w:val="32"/>
          <w:szCs w:val="32"/>
        </w:rPr>
        <w:t>人，财产</w:t>
      </w:r>
      <w:r>
        <w:rPr>
          <w:rFonts w:ascii="Times New Roman" w:hAnsi="Times New Roman" w:eastAsia="仿宋_GB2312" w:cs="Times New Roman"/>
          <w:sz w:val="32"/>
          <w:szCs w:val="32"/>
        </w:rPr>
        <w:t>1155</w:t>
      </w:r>
      <w:r>
        <w:rPr>
          <w:rFonts w:hint="eastAsia" w:ascii="Times New Roman" w:hAnsi="Times New Roman" w:eastAsia="仿宋_GB2312" w:cs="Times New Roman"/>
          <w:sz w:val="32"/>
          <w:szCs w:val="32"/>
        </w:rPr>
        <w:t>万元。</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防治区内断裂构造较为发育，局部松散层厚度较大，地质环境条件较脆弱，人类活动一般较频繁，致使工程建设引发和遭受地质灾害危害的可能性和危险性较大，故区内所有工程建设项目必须进行地质灾害危险性评估。禁止严重损害自然生态环境的人为活动。对地质灾害及隐患点和风险区加强监测及预报，及时采取应急避险措施。</w:t>
      </w:r>
    </w:p>
    <w:bookmarkEnd w:id="23"/>
    <w:p>
      <w:pPr>
        <w:pStyle w:val="11"/>
        <w:spacing w:before="0" w:after="0" w:line="600" w:lineRule="exact"/>
        <w:ind w:firstLine="643" w:firstLineChars="200"/>
        <w:jc w:val="left"/>
        <w:rPr>
          <w:rFonts w:ascii="Times New Roman" w:hAnsi="Times New Roman" w:eastAsia="楷体_GB2312" w:cs="仿宋_GB2312"/>
        </w:rPr>
      </w:pPr>
      <w:bookmarkStart w:id="25" w:name="_Toc74663427"/>
      <w:r>
        <w:rPr>
          <w:rFonts w:hint="eastAsia" w:ascii="Times New Roman" w:hAnsi="Times New Roman" w:eastAsia="楷体_GB2312" w:cs="仿宋_GB2312"/>
        </w:rPr>
        <w:t>（三）地质灾害风险防范区</w:t>
      </w:r>
      <w:bookmarkEnd w:id="25"/>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根据丘陵山区斜坡、沟谷等地质灾害危险性和人口、财产分布情况，科学评价地质灾害风险程度，划分为极高、高、中、低四个级别，将中风险及以上级别的划定为地质灾害风险防范区。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武义县共划定地质灾害风险防范区</w:t>
      </w:r>
      <w:r>
        <w:rPr>
          <w:rFonts w:ascii="Times New Roman" w:hAnsi="Times New Roman" w:eastAsia="仿宋_GB2312" w:cs="Times New Roman"/>
          <w:sz w:val="32"/>
          <w:szCs w:val="32"/>
        </w:rPr>
        <w:t>185</w:t>
      </w:r>
      <w:r>
        <w:rPr>
          <w:rFonts w:hint="eastAsia" w:ascii="Times New Roman" w:hAnsi="Times New Roman" w:eastAsia="仿宋_GB2312" w:cs="Times New Roman"/>
          <w:sz w:val="32"/>
          <w:szCs w:val="32"/>
        </w:rPr>
        <w:t>处，其中重点风险防范区</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处，次重点防范区</w:t>
      </w:r>
      <w:r>
        <w:rPr>
          <w:rFonts w:ascii="Times New Roman" w:hAnsi="Times New Roman" w:eastAsia="仿宋_GB2312" w:cs="Times New Roman"/>
          <w:sz w:val="32"/>
          <w:szCs w:val="32"/>
        </w:rPr>
        <w:t>37</w:t>
      </w:r>
      <w:r>
        <w:rPr>
          <w:rFonts w:hint="eastAsia" w:ascii="Times New Roman" w:hAnsi="Times New Roman" w:eastAsia="仿宋_GB2312" w:cs="Times New Roman"/>
          <w:sz w:val="32"/>
          <w:szCs w:val="32"/>
        </w:rPr>
        <w:t>处，一般风险防范区</w:t>
      </w:r>
      <w:r>
        <w:rPr>
          <w:rFonts w:ascii="Times New Roman" w:hAnsi="Times New Roman" w:eastAsia="仿宋_GB2312" w:cs="Times New Roman"/>
          <w:sz w:val="32"/>
          <w:szCs w:val="32"/>
        </w:rPr>
        <w:t>143</w:t>
      </w:r>
      <w:r>
        <w:rPr>
          <w:rFonts w:hint="eastAsia" w:ascii="Times New Roman" w:hAnsi="Times New Roman" w:eastAsia="仿宋_GB2312" w:cs="Times New Roman"/>
          <w:sz w:val="32"/>
          <w:szCs w:val="32"/>
        </w:rPr>
        <w:t>处，受影响人数</w:t>
      </w:r>
      <w:r>
        <w:rPr>
          <w:rFonts w:ascii="Times New Roman" w:hAnsi="Times New Roman" w:eastAsia="仿宋_GB2312" w:cs="Times New Roman"/>
          <w:sz w:val="32"/>
          <w:szCs w:val="32"/>
        </w:rPr>
        <w:t>498</w:t>
      </w:r>
      <w:r>
        <w:rPr>
          <w:rFonts w:hint="eastAsia" w:ascii="Times New Roman" w:hAnsi="Times New Roman" w:eastAsia="仿宋_GB2312" w:cs="Times New Roman"/>
          <w:sz w:val="32"/>
          <w:szCs w:val="32"/>
        </w:rPr>
        <w:t>户</w:t>
      </w:r>
      <w:r>
        <w:rPr>
          <w:rFonts w:ascii="Times New Roman" w:hAnsi="Times New Roman" w:eastAsia="仿宋_GB2312" w:cs="Times New Roman"/>
          <w:sz w:val="32"/>
          <w:szCs w:val="32"/>
        </w:rPr>
        <w:t>1344</w:t>
      </w:r>
      <w:r>
        <w:rPr>
          <w:rFonts w:hint="eastAsia" w:ascii="Times New Roman" w:hAnsi="Times New Roman" w:eastAsia="仿宋_GB2312" w:cs="Times New Roman"/>
          <w:sz w:val="32"/>
          <w:szCs w:val="32"/>
        </w:rPr>
        <w:t>人，受影响财产</w:t>
      </w:r>
      <w:r>
        <w:rPr>
          <w:rFonts w:ascii="Times New Roman" w:hAnsi="Times New Roman" w:eastAsia="仿宋_GB2312" w:cs="Times New Roman"/>
          <w:sz w:val="32"/>
          <w:szCs w:val="32"/>
        </w:rPr>
        <w:t>14116</w:t>
      </w:r>
      <w:r>
        <w:rPr>
          <w:rFonts w:hint="eastAsia" w:ascii="Times New Roman" w:hAnsi="Times New Roman" w:eastAsia="仿宋_GB2312" w:cs="Times New Roman"/>
          <w:sz w:val="32"/>
          <w:szCs w:val="32"/>
        </w:rPr>
        <w:t>万元；各乡（镇、街道）均有分布，其中桃溪镇、熟溪街道、柳城镇、大溪口乡、新宅镇和坦洪乡较为集中，其风险防范区数量占全县</w:t>
      </w:r>
      <w:r>
        <w:rPr>
          <w:rFonts w:ascii="Times New Roman" w:hAnsi="Times New Roman" w:eastAsia="仿宋_GB2312" w:cs="Times New Roman"/>
          <w:sz w:val="32"/>
          <w:szCs w:val="32"/>
        </w:rPr>
        <w:t>54%</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防范措施：一是根据实时降雨监测数据和风险降雨阈值，及时发布地质灾害风险防范区红色、橙色、黄色预警结果，根据临灾实际确定的受威胁人员名单，及时进行分类处置，实现人员精准转移。二是加强组织领导，完善群测群防网络。三是对有人员影响的风险防范区进行定期巡查，检查其撤离路线是否安全通畅，避灾点是否存在安全隐患。四是鼓励支持重点风险防范区内主动采取以避让搬迁为主、工程治理与专业监测相结合的治理措施，降低地质灾害风险。五是对于影响人数大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人的风险防范区所在的行政村要加强汛期巡排查，优先进行综合治理工程。</w:t>
      </w:r>
    </w:p>
    <w:p>
      <w:pPr>
        <w:pStyle w:val="11"/>
        <w:spacing w:before="0" w:after="0" w:line="600" w:lineRule="exact"/>
        <w:ind w:firstLine="643" w:firstLineChars="200"/>
        <w:jc w:val="left"/>
        <w:rPr>
          <w:rFonts w:ascii="Times New Roman" w:hAnsi="Times New Roman" w:eastAsia="楷体_GB2312" w:cs="仿宋_GB2312"/>
        </w:rPr>
      </w:pPr>
      <w:bookmarkStart w:id="26" w:name="_Toc74663428"/>
      <w:r>
        <w:rPr>
          <w:rFonts w:hint="eastAsia" w:ascii="Times New Roman" w:hAnsi="Times New Roman" w:eastAsia="楷体_GB2312" w:cs="仿宋_GB2312"/>
        </w:rPr>
        <w:t>（四）地质灾害隐患点</w:t>
      </w:r>
      <w:bookmarkEnd w:id="26"/>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020</w:t>
      </w:r>
      <w:r>
        <w:rPr>
          <w:rFonts w:hint="eastAsia" w:ascii="Times New Roman" w:hAnsi="Times New Roman" w:eastAsia="仿宋_GB2312" w:cs="Times New Roman"/>
          <w:sz w:val="32"/>
          <w:szCs w:val="32"/>
        </w:rPr>
        <w:t>年底，我县尚有地质灾害隐患点共</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处，其中滑坡和崩塌各</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处，地面塌陷</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处；按规模划分，有</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处大型滑坡和中型地面塌陷，其余均为小型规模；按稳定性划分，有</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处滑坡和</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处地面塌陷稳定性差，其余均为较差级；按隐患点危害程度划分，较大级</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处，一般级</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处；共威胁财产</w:t>
      </w:r>
      <w:r>
        <w:rPr>
          <w:rFonts w:ascii="Times New Roman" w:hAnsi="Times New Roman" w:eastAsia="仿宋_GB2312" w:cs="Times New Roman"/>
          <w:sz w:val="32"/>
          <w:szCs w:val="32"/>
        </w:rPr>
        <w:t>1310</w:t>
      </w:r>
      <w:r>
        <w:rPr>
          <w:rFonts w:hint="eastAsia" w:ascii="Times New Roman" w:hAnsi="Times New Roman" w:eastAsia="仿宋_GB2312" w:cs="Times New Roman"/>
          <w:sz w:val="32"/>
          <w:szCs w:val="32"/>
        </w:rPr>
        <w:t>万元。</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因目前地面塌陷隐患点无直接威胁人员，且治理技术不可控，故采用围、填、树警示标志，并采用专业监测与群测群防等多措并举予以防范。除武义县大田乡徐村地面塌陷和武义县上松线</w:t>
      </w:r>
      <w:r>
        <w:rPr>
          <w:rFonts w:ascii="Times New Roman" w:hAnsi="Times New Roman" w:eastAsia="仿宋_GB2312" w:cs="Times New Roman"/>
          <w:sz w:val="32"/>
          <w:szCs w:val="32"/>
        </w:rPr>
        <w:t>K65+050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750</w:t>
      </w:r>
      <w:r>
        <w:rPr>
          <w:rFonts w:hint="eastAsia" w:ascii="Times New Roman" w:hAnsi="Times New Roman" w:eastAsia="仿宋_GB2312" w:cs="Times New Roman"/>
          <w:sz w:val="32"/>
          <w:szCs w:val="32"/>
        </w:rPr>
        <w:t>滑坡实行专业监测外，其余隐患点均实施群测群防的防治措施。</w:t>
      </w:r>
    </w:p>
    <w:bookmarkEnd w:id="24"/>
    <w:p>
      <w:pPr>
        <w:widowControl/>
        <w:jc w:val="left"/>
        <w:rPr>
          <w:rFonts w:ascii="Times New Roman" w:hAnsi="Times New Roman" w:eastAsia="仿宋" w:cs="黑体"/>
          <w:b/>
          <w:bCs/>
          <w:kern w:val="44"/>
          <w:sz w:val="32"/>
          <w:szCs w:val="32"/>
        </w:rPr>
      </w:pPr>
      <w:r>
        <w:rPr>
          <w:rFonts w:ascii="Times New Roman" w:hAnsi="Times New Roman" w:eastAsia="仿宋" w:cs="黑体"/>
          <w:sz w:val="32"/>
          <w:szCs w:val="32"/>
        </w:rPr>
        <w:br w:type="page"/>
      </w:r>
    </w:p>
    <w:p>
      <w:pPr>
        <w:widowControl/>
        <w:spacing w:line="600" w:lineRule="exact"/>
        <w:ind w:firstLine="640" w:firstLineChars="200"/>
        <w:jc w:val="left"/>
        <w:rPr>
          <w:rFonts w:ascii="Times New Roman" w:hAnsi="Times New Roman" w:eastAsia="黑体" w:cs="黑体"/>
          <w:sz w:val="32"/>
          <w:szCs w:val="32"/>
        </w:rPr>
      </w:pPr>
      <w:bookmarkStart w:id="27" w:name="_Toc74663429"/>
      <w:r>
        <w:rPr>
          <w:rFonts w:hint="eastAsia" w:ascii="Times New Roman" w:hAnsi="Times New Roman" w:eastAsia="黑体" w:cs="黑体"/>
          <w:sz w:val="32"/>
          <w:szCs w:val="32"/>
        </w:rPr>
        <w:t>五、强化地质灾害六大体系建设</w:t>
      </w:r>
      <w:bookmarkEnd w:id="27"/>
    </w:p>
    <w:p>
      <w:pPr>
        <w:pStyle w:val="11"/>
        <w:spacing w:before="0" w:after="0" w:line="600" w:lineRule="exact"/>
        <w:ind w:firstLine="643" w:firstLineChars="200"/>
        <w:jc w:val="left"/>
        <w:rPr>
          <w:rFonts w:ascii="Times New Roman" w:hAnsi="Times New Roman" w:eastAsia="楷体_GB2312" w:cs="仿宋_GB2312"/>
        </w:rPr>
      </w:pPr>
      <w:bookmarkStart w:id="28" w:name="_Toc74663430"/>
      <w:r>
        <w:rPr>
          <w:rFonts w:hint="eastAsia" w:ascii="Times New Roman" w:hAnsi="Times New Roman" w:eastAsia="楷体_GB2312" w:cs="仿宋_GB2312"/>
        </w:rPr>
        <w:t>（一）地质灾害调查监测体系建设</w:t>
      </w:r>
      <w:bookmarkEnd w:id="28"/>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1、加强地质灾害风险隐患早期识别。</w:t>
      </w:r>
      <w:r>
        <w:rPr>
          <w:rFonts w:hint="eastAsia" w:ascii="Times New Roman" w:hAnsi="Times New Roman" w:eastAsia="仿宋_GB2312" w:cs="Times New Roman"/>
          <w:sz w:val="32"/>
          <w:szCs w:val="32"/>
        </w:rPr>
        <w:t>完成1：50000地质灾害风险普查、</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2000</w:t>
      </w:r>
      <w:r>
        <w:rPr>
          <w:rFonts w:hint="eastAsia" w:ascii="Times New Roman" w:hAnsi="Times New Roman" w:eastAsia="仿宋_GB2312" w:cs="Times New Roman"/>
          <w:sz w:val="32"/>
          <w:szCs w:val="32"/>
        </w:rPr>
        <w:t>乡镇（街道）地质灾害风险调查和城市地质调查，采用遥感调查、地面调查、测绘勘查、测试分析相结合的方法，开展地质灾害风险隐患遥感识别和重点地区高精度调查，进一步摸清地质灾害风险隐患底数。</w:t>
      </w:r>
    </w:p>
    <w:p>
      <w:pPr>
        <w:spacing w:line="600" w:lineRule="exact"/>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2</w:t>
      </w:r>
      <w:r>
        <w:rPr>
          <w:rFonts w:hint="eastAsia" w:ascii="Times New Roman" w:hAnsi="Times New Roman" w:eastAsia="仿宋_GB2312" w:cs="Times New Roman"/>
          <w:b/>
          <w:bCs/>
          <w:color w:val="000000" w:themeColor="text1"/>
          <w:sz w:val="32"/>
          <w:szCs w:val="32"/>
          <w14:textFill>
            <w14:solidFill>
              <w14:schemeClr w14:val="tx1"/>
            </w14:solidFill>
          </w14:textFill>
        </w:rPr>
        <w:t>、提升城市地质安全风险识别能力。</w:t>
      </w:r>
      <w:r>
        <w:rPr>
          <w:rFonts w:hint="eastAsia" w:ascii="Times New Roman" w:hAnsi="Times New Roman" w:eastAsia="仿宋_GB2312" w:cs="Times New Roman"/>
          <w:color w:val="000000" w:themeColor="text1"/>
          <w:sz w:val="32"/>
          <w:szCs w:val="32"/>
          <w14:textFill>
            <w14:solidFill>
              <w14:schemeClr w14:val="tx1"/>
            </w14:solidFill>
          </w14:textFill>
        </w:rPr>
        <w:t>在地面塌陷地质灾害风险隐患大排查的基础上，全面分析地面塌陷隐患现状、稳定性和发展趋势，提出城市地质安全风险防范措施与建议，收集编制全县地面塌陷灾害案例，配合全市开展一张图的编制工作。</w:t>
      </w:r>
    </w:p>
    <w:p>
      <w:pPr>
        <w:spacing w:line="600" w:lineRule="exact"/>
        <w:ind w:firstLine="643" w:firstLineChars="200"/>
        <w:rPr>
          <w:rFonts w:ascii="Times New Roman" w:hAnsi="Times New Roman" w:eastAsia="仿宋" w:cs="仿宋_GB2312"/>
          <w:sz w:val="28"/>
          <w:szCs w:val="28"/>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、强化地质灾害风险隐患排查巡查。</w:t>
      </w:r>
      <w:r>
        <w:rPr>
          <w:rFonts w:hint="eastAsia" w:ascii="Times New Roman" w:hAnsi="Times New Roman" w:eastAsia="仿宋_GB2312" w:cs="Times New Roman"/>
          <w:sz w:val="32"/>
          <w:szCs w:val="32"/>
        </w:rPr>
        <w:t>对地质灾害隐患点和划定的地质灾害风险防范区，以及地质灾害易发区内集镇、学校、医院、旅游景点、村庄等人口集聚区和重要基础设施等地质灾害重点防治区，开展地质灾害汛前排查、汛中巡查、汛后核查，及时掌握地质灾害风险隐患变化情况，落实防灾责任和防范措施，动态更新地质灾害风险“一张图”。</w:t>
      </w:r>
    </w:p>
    <w:p>
      <w:pPr>
        <w:spacing w:line="600" w:lineRule="exact"/>
        <w:ind w:firstLine="643" w:firstLineChars="200"/>
        <w:rPr>
          <w:rFonts w:ascii="Times New Roman" w:hAnsi="Times New Roman" w:eastAsia="仿宋" w:cs="仿宋_GB2312"/>
          <w:sz w:val="28"/>
          <w:szCs w:val="28"/>
        </w:rPr>
      </w:pPr>
      <w:r>
        <w:rPr>
          <w:rFonts w:ascii="Times New Roman" w:hAnsi="Times New Roman" w:eastAsia="仿宋_GB2312" w:cs="Times New Roman"/>
          <w:b/>
          <w:bCs/>
          <w:sz w:val="32"/>
          <w:szCs w:val="32"/>
        </w:rPr>
        <w:t>4</w:t>
      </w:r>
      <w:r>
        <w:rPr>
          <w:rFonts w:hint="eastAsia" w:ascii="Times New Roman" w:hAnsi="Times New Roman" w:eastAsia="仿宋_GB2312" w:cs="Times New Roman"/>
          <w:b/>
          <w:bCs/>
          <w:sz w:val="32"/>
          <w:szCs w:val="32"/>
        </w:rPr>
        <w:t>、完善地质灾害群专结合监测网络。</w:t>
      </w:r>
      <w:r>
        <w:rPr>
          <w:rFonts w:hint="eastAsia" w:ascii="Times New Roman" w:hAnsi="Times New Roman" w:eastAsia="仿宋_GB2312" w:cs="Times New Roman"/>
          <w:sz w:val="32"/>
          <w:szCs w:val="32"/>
        </w:rPr>
        <w:t>按照“群专结合、全面覆盖”的要求，切实提升地质灾害群测群防水平，深入推进地质灾害隐患点、风险防范区等分类分级监测，提高监测覆盖面、精准度、时效性。根据武义县地质特点，探索适用区内地质灾害的监测仪器，建立覆盖重点地质灾害风险防范区和隐患点的自动化专业监测网络。加强资规、水利、气象和应急等部门的协作和数据共享，统一规划，在现有雨量监测网络的基础上，进一步提高武义县山区降雨量监测精度与密度，达到重点风险村庄全覆盖。</w:t>
      </w:r>
    </w:p>
    <w:p>
      <w:pPr>
        <w:pStyle w:val="11"/>
        <w:spacing w:before="0" w:after="0" w:line="600" w:lineRule="exact"/>
        <w:ind w:firstLine="643" w:firstLineChars="200"/>
        <w:jc w:val="left"/>
        <w:rPr>
          <w:rFonts w:ascii="Times New Roman" w:hAnsi="Times New Roman" w:eastAsia="楷体_GB2312" w:cs="仿宋_GB2312"/>
        </w:rPr>
      </w:pPr>
      <w:bookmarkStart w:id="29" w:name="_Toc74663431"/>
      <w:r>
        <w:rPr>
          <w:rFonts w:hint="eastAsia" w:ascii="Times New Roman" w:hAnsi="Times New Roman" w:eastAsia="楷体_GB2312" w:cs="仿宋_GB2312"/>
        </w:rPr>
        <w:t>（二）地质灾害预警应急体系建设</w:t>
      </w:r>
      <w:bookmarkEnd w:id="29"/>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1、提升地质灾害预警预报水平。</w:t>
      </w:r>
      <w:r>
        <w:rPr>
          <w:rFonts w:hint="eastAsia" w:ascii="Times New Roman" w:hAnsi="Times New Roman" w:eastAsia="仿宋_GB2312" w:cs="Times New Roman"/>
          <w:sz w:val="32"/>
          <w:szCs w:val="32"/>
        </w:rPr>
        <w:t>按照“县级预警到村”的要求，建立和完善地质灾害风险预报系统，及时发布区域地质灾害风险等级“五色图”。加强地质灾害风险降雨阈值研究，动态调整并发布降雨阈值。加强和省、市平台的数据互通共享，协助建成基于多源数据驱动的省市县一体化地质灾害风险实时预警系统，及时发布地质灾害风险预警提示单。</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、健全地质灾害应急机制。</w:t>
      </w:r>
      <w:r>
        <w:rPr>
          <w:rFonts w:hint="eastAsia" w:ascii="Times New Roman" w:hAnsi="Times New Roman" w:eastAsia="仿宋_GB2312" w:cs="Times New Roman"/>
          <w:sz w:val="32"/>
          <w:szCs w:val="32"/>
        </w:rPr>
        <w:t>及时修订完善县、乡两级地质灾害应急预案，编制重点地质灾害风险防范区应急预案，健全灾前应急准备、临灾应急避险、灾后应急救援的综合应急体系。强化“安全码”应用，实现人员精准转移。严格执行应急值守、信息报送等制度，健全信息共享机制，及时开展应急调查、会商和处置工作，有效防止灾险情灾情进一步扩大。</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、提升地质灾害应急能力。</w:t>
      </w:r>
      <w:r>
        <w:rPr>
          <w:rFonts w:hint="eastAsia" w:ascii="Times New Roman" w:hAnsi="Times New Roman" w:eastAsia="仿宋_GB2312" w:cs="Times New Roman"/>
          <w:sz w:val="32"/>
          <w:szCs w:val="32"/>
        </w:rPr>
        <w:t>深入开展地质队员“驻县进乡”专项行动，加强地质灾害应急队伍建设，配置无人机、应急车辆等应急装备，提高地质灾害应急技术支撑能力。全面组织开展应急预案演练，应急预案规划期至少组织一次演练，重点和次重点地质灾害风险防范区每年开展一次演练，切实提高山区群众应急避险能力。</w:t>
      </w:r>
    </w:p>
    <w:p>
      <w:pPr>
        <w:pStyle w:val="11"/>
        <w:spacing w:before="0" w:after="0" w:line="600" w:lineRule="exact"/>
        <w:ind w:firstLine="643" w:firstLineChars="200"/>
        <w:jc w:val="left"/>
        <w:rPr>
          <w:rFonts w:ascii="Times New Roman" w:hAnsi="Times New Roman" w:eastAsia="楷体_GB2312" w:cs="仿宋_GB2312"/>
        </w:rPr>
      </w:pPr>
      <w:bookmarkStart w:id="30" w:name="_Toc74663432"/>
      <w:r>
        <w:rPr>
          <w:rFonts w:hint="eastAsia" w:ascii="Times New Roman" w:hAnsi="Times New Roman" w:eastAsia="楷体_GB2312" w:cs="仿宋_GB2312"/>
        </w:rPr>
        <w:t>（三）地质灾害综合治理体系建设</w:t>
      </w:r>
      <w:bookmarkEnd w:id="30"/>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地质灾害隐患综合治理。按照“即查即治”的要求，结合异地搬迁、土地整治、生态修复、美丽乡村建设等政策，尊重群众意愿，加大扶持力度，按照轻重缓急，有计划、有组织、分期分批开展地质灾害隐患点避让搬迁和综合治理，及时消除地质灾害隐患。</w:t>
      </w:r>
    </w:p>
    <w:p>
      <w:pPr>
        <w:pStyle w:val="11"/>
        <w:spacing w:before="0" w:after="0" w:line="600" w:lineRule="exact"/>
        <w:ind w:firstLine="643" w:firstLineChars="200"/>
        <w:jc w:val="left"/>
        <w:rPr>
          <w:rFonts w:ascii="Times New Roman" w:hAnsi="Times New Roman" w:eastAsia="楷体_GB2312" w:cs="仿宋_GB2312"/>
        </w:rPr>
      </w:pPr>
      <w:bookmarkStart w:id="31" w:name="_Toc74663433"/>
      <w:r>
        <w:rPr>
          <w:rFonts w:hint="eastAsia" w:ascii="Times New Roman" w:hAnsi="Times New Roman" w:eastAsia="楷体_GB2312" w:cs="仿宋_GB2312"/>
        </w:rPr>
        <w:t>（四）地质灾害数字管理体系建设</w:t>
      </w:r>
      <w:bookmarkEnd w:id="31"/>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依托地质灾害“整体智治”数字化平台，应用视联网、</w:t>
      </w:r>
      <w:r>
        <w:rPr>
          <w:rFonts w:ascii="Times New Roman" w:hAnsi="Times New Roman" w:eastAsia="仿宋_GB2312" w:cs="Times New Roman"/>
          <w:sz w:val="32"/>
          <w:szCs w:val="32"/>
        </w:rPr>
        <w:t>5G</w:t>
      </w:r>
      <w:r>
        <w:rPr>
          <w:rFonts w:hint="eastAsia" w:ascii="Times New Roman" w:hAnsi="Times New Roman" w:eastAsia="仿宋_GB2312" w:cs="Times New Roman"/>
          <w:sz w:val="32"/>
          <w:szCs w:val="32"/>
        </w:rPr>
        <w:t>移动通讯等技术，遵循“责权明确、统建共享、全程管控、标准统一”的原则，结合我县的需求配合省里建设省市县一体化数字化管理平台，结合“地灾智防</w:t>
      </w:r>
      <w:r>
        <w:rPr>
          <w:rFonts w:ascii="Times New Roman" w:hAnsi="Times New Roman" w:eastAsia="仿宋_GB2312" w:cs="Times New Roman"/>
          <w:sz w:val="32"/>
          <w:szCs w:val="32"/>
        </w:rPr>
        <w:t>APP</w:t>
      </w:r>
      <w:r>
        <w:rPr>
          <w:rFonts w:hint="eastAsia" w:ascii="Times New Roman" w:hAnsi="Times New Roman" w:eastAsia="仿宋_GB2312" w:cs="Times New Roman"/>
          <w:sz w:val="32"/>
          <w:szCs w:val="32"/>
        </w:rPr>
        <w:t>”，形成地质灾害风险点管控及人员撤离等工作的闭环管理模式，为开展地质灾害防御工作提供信息化支撑。</w:t>
      </w:r>
    </w:p>
    <w:p>
      <w:pPr>
        <w:pStyle w:val="11"/>
        <w:spacing w:before="0" w:after="0" w:line="600" w:lineRule="exact"/>
        <w:ind w:firstLine="643" w:firstLineChars="200"/>
        <w:jc w:val="left"/>
        <w:rPr>
          <w:rFonts w:ascii="Times New Roman" w:hAnsi="Times New Roman" w:eastAsia="楷体_GB2312" w:cs="仿宋_GB2312"/>
        </w:rPr>
      </w:pPr>
      <w:bookmarkStart w:id="32" w:name="_Toc74663434"/>
      <w:r>
        <w:rPr>
          <w:rFonts w:hint="eastAsia" w:ascii="Times New Roman" w:hAnsi="Times New Roman" w:eastAsia="楷体_GB2312" w:cs="仿宋_GB2312"/>
        </w:rPr>
        <w:t>（五）地质灾害创新平台体系建设</w:t>
      </w:r>
      <w:bookmarkEnd w:id="32"/>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以地质灾害防治技术需求为导向，以研究地质灾害发生规律为目的，加大新技术、新方法、新设备的应用研究。</w:t>
      </w:r>
    </w:p>
    <w:p>
      <w:pPr>
        <w:pStyle w:val="11"/>
        <w:spacing w:before="0" w:after="0" w:line="600" w:lineRule="exact"/>
        <w:ind w:firstLine="643" w:firstLineChars="200"/>
        <w:jc w:val="left"/>
        <w:rPr>
          <w:rFonts w:ascii="Times New Roman" w:hAnsi="Times New Roman" w:eastAsia="楷体_GB2312" w:cs="仿宋_GB2312"/>
        </w:rPr>
      </w:pPr>
      <w:bookmarkStart w:id="33" w:name="_Toc74663435"/>
      <w:r>
        <w:rPr>
          <w:rFonts w:hint="eastAsia" w:ascii="Times New Roman" w:hAnsi="Times New Roman" w:eastAsia="楷体_GB2312" w:cs="仿宋_GB2312"/>
        </w:rPr>
        <w:t>（六）地质灾害人才队伍体系建设</w:t>
      </w:r>
      <w:bookmarkEnd w:id="33"/>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加强基层地质灾害防治人员队伍建设；建立完善日常专业培训机制，提高基层地质灾害防治能力；推进“驻县进乡”行动，打造一支与地质灾害风险管理工作高质量发展相适应的专业化队伍。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idowControl/>
        <w:spacing w:line="600" w:lineRule="exact"/>
        <w:ind w:firstLine="640" w:firstLineChars="200"/>
        <w:jc w:val="left"/>
        <w:rPr>
          <w:rFonts w:ascii="Times New Roman" w:hAnsi="Times New Roman" w:eastAsia="黑体" w:cs="黑体"/>
          <w:sz w:val="32"/>
          <w:szCs w:val="32"/>
        </w:rPr>
      </w:pPr>
      <w:bookmarkStart w:id="34" w:name="_Toc74663436"/>
      <w:r>
        <w:rPr>
          <w:rFonts w:hint="eastAsia" w:ascii="Times New Roman" w:hAnsi="Times New Roman" w:eastAsia="黑体" w:cs="黑体"/>
          <w:sz w:val="32"/>
          <w:szCs w:val="32"/>
        </w:rPr>
        <w:t>六、重点工程</w:t>
      </w:r>
      <w:bookmarkEnd w:id="34"/>
    </w:p>
    <w:p>
      <w:pPr>
        <w:pStyle w:val="11"/>
        <w:spacing w:before="0" w:after="0" w:line="600" w:lineRule="exact"/>
        <w:ind w:firstLine="643" w:firstLineChars="200"/>
        <w:jc w:val="left"/>
        <w:rPr>
          <w:rFonts w:ascii="Times New Roman" w:hAnsi="Times New Roman" w:eastAsia="楷体_GB2312" w:cs="仿宋_GB2312"/>
        </w:rPr>
      </w:pPr>
      <w:bookmarkStart w:id="35" w:name="_Toc74663437"/>
      <w:bookmarkStart w:id="36" w:name="_Hlk66830878"/>
      <w:r>
        <w:rPr>
          <w:rFonts w:hint="eastAsia" w:ascii="Times New Roman" w:hAnsi="Times New Roman" w:eastAsia="楷体_GB2312" w:cs="仿宋_GB2312"/>
        </w:rPr>
        <w:t>（一）地质灾害风险调查工程</w:t>
      </w:r>
      <w:bookmarkEnd w:id="35"/>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1、完善地质灾害风险“一张图”。</w:t>
      </w:r>
      <w:r>
        <w:rPr>
          <w:rFonts w:hint="eastAsia" w:ascii="Times New Roman" w:hAnsi="Times New Roman" w:eastAsia="仿宋_GB2312" w:cs="Times New Roman"/>
          <w:sz w:val="32"/>
          <w:szCs w:val="32"/>
        </w:rPr>
        <w:t>到2025年，形成地质灾害日常排查巡查工作联动机制，及时掌握地质灾害风险隐患变化情况，落实防灾责任和防范措施，充分利用最新地质灾害调查、巡排查成果，实时更新完善地质灾害风险“一张图”。</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、完成地质灾害风险调查评价。</w:t>
      </w:r>
      <w:r>
        <w:rPr>
          <w:rFonts w:hint="eastAsia" w:ascii="Times New Roman" w:hAnsi="Times New Roman" w:eastAsia="仿宋_GB2312" w:cs="Times New Roman"/>
          <w:sz w:val="32"/>
          <w:szCs w:val="32"/>
        </w:rPr>
        <w:t>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年，完成</w:t>
      </w:r>
      <w:r>
        <w:rPr>
          <w:rFonts w:ascii="Times New Roman" w:hAnsi="Times New Roman" w:eastAsia="仿宋_GB2312" w:cs="Times New Roman"/>
          <w:sz w:val="32"/>
          <w:szCs w:val="32"/>
        </w:rPr>
        <w:t>1:50000</w:t>
      </w:r>
      <w:r>
        <w:rPr>
          <w:rFonts w:hint="eastAsia" w:ascii="Times New Roman" w:hAnsi="Times New Roman" w:eastAsia="仿宋_GB2312" w:cs="Times New Roman"/>
          <w:sz w:val="32"/>
          <w:szCs w:val="32"/>
        </w:rPr>
        <w:t>地质灾害风险普查，桃溪、坦洪等</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1:2000</w:t>
      </w:r>
      <w:r>
        <w:rPr>
          <w:rFonts w:hint="eastAsia" w:ascii="Times New Roman" w:hAnsi="Times New Roman" w:eastAsia="仿宋_GB2312" w:cs="Times New Roman"/>
          <w:sz w:val="32"/>
          <w:szCs w:val="32"/>
        </w:rPr>
        <w:t>地质灾害乡镇风险调查评价。</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w:t>
      </w:r>
      <w:r>
        <w:rPr>
          <w:rFonts w:hint="eastAsia" w:ascii="Times New Roman" w:hAnsi="Times New Roman" w:eastAsia="仿宋_GB2312" w:cs="Times New Roman"/>
          <w:b/>
          <w:bCs/>
          <w:sz w:val="32"/>
          <w:szCs w:val="32"/>
        </w:rPr>
        <w:t>、山地丘陵区农村切坡建房排查。</w:t>
      </w:r>
      <w:r>
        <w:rPr>
          <w:rFonts w:hint="eastAsia" w:ascii="Times New Roman" w:hAnsi="Times New Roman" w:eastAsia="仿宋_GB2312" w:cs="Times New Roman"/>
          <w:sz w:val="32"/>
          <w:szCs w:val="32"/>
        </w:rPr>
        <w:t>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年底前，充分利用遥感影像和不动产登记信息，按照《全省农村切坡建房情况排查技术要求》，对武义山地丘陵区农村切坡建房情况逐幢开展排查，建立切坡建房情况数据库。</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eastAsia="仿宋_GB2312" w:cs="仿宋_GB2312"/>
          <w:b/>
          <w:sz w:val="32"/>
          <w:szCs w:val="32"/>
        </w:rPr>
        <w:t>建立城市地面塌陷案例库。</w:t>
      </w:r>
      <w:r>
        <w:rPr>
          <w:rFonts w:hint="eastAsia" w:eastAsia="仿宋_GB2312" w:cs="仿宋"/>
          <w:kern w:val="0"/>
          <w:sz w:val="32"/>
          <w:szCs w:val="32"/>
        </w:rPr>
        <w:t>收集地面塌陷灾害案例，分析其隐患现状、地质背景及发生原因，总结发育发生规律，</w:t>
      </w:r>
      <w:r>
        <w:rPr>
          <w:rFonts w:hint="eastAsia" w:ascii="Times New Roman" w:hAnsi="Times New Roman" w:eastAsia="仿宋_GB2312" w:cs="Times New Roman"/>
          <w:sz w:val="32"/>
          <w:szCs w:val="32"/>
        </w:rPr>
        <w:t>提出城市地质安全风险防范措施与建议</w:t>
      </w:r>
      <w:r>
        <w:rPr>
          <w:rFonts w:hint="eastAsia" w:eastAsia="仿宋_GB2312" w:cs="仿宋"/>
          <w:kern w:val="0"/>
          <w:sz w:val="32"/>
          <w:szCs w:val="32"/>
        </w:rPr>
        <w:t>。</w:t>
      </w:r>
      <w:r>
        <w:rPr>
          <w:rFonts w:eastAsia="仿宋_GB2312" w:cs="仿宋"/>
          <w:kern w:val="0"/>
          <w:sz w:val="32"/>
          <w:szCs w:val="32"/>
        </w:rPr>
        <w:t>2021</w:t>
      </w:r>
      <w:r>
        <w:rPr>
          <w:rFonts w:hint="eastAsia" w:eastAsia="仿宋_GB2312" w:cs="仿宋"/>
          <w:kern w:val="0"/>
          <w:sz w:val="32"/>
          <w:szCs w:val="32"/>
        </w:rPr>
        <w:t>年6月底前完成地面塌陷案例编制工作。</w:t>
      </w:r>
    </w:p>
    <w:p>
      <w:pPr>
        <w:pStyle w:val="11"/>
        <w:spacing w:before="0" w:after="0" w:line="600" w:lineRule="exact"/>
        <w:ind w:firstLine="643" w:firstLineChars="200"/>
        <w:jc w:val="left"/>
        <w:rPr>
          <w:rFonts w:ascii="Times New Roman" w:hAnsi="Times New Roman" w:eastAsia="楷体_GB2312" w:cs="仿宋_GB2312"/>
        </w:rPr>
      </w:pPr>
      <w:bookmarkStart w:id="37" w:name="_Toc74663438"/>
      <w:r>
        <w:rPr>
          <w:rFonts w:hint="eastAsia" w:ascii="Times New Roman" w:hAnsi="Times New Roman" w:eastAsia="楷体_GB2312" w:cs="仿宋_GB2312"/>
        </w:rPr>
        <w:t>（二）地质灾害监测网建设工程</w:t>
      </w:r>
      <w:bookmarkEnd w:id="37"/>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1、构建地质灾害专业监测网络。</w:t>
      </w:r>
      <w:r>
        <w:rPr>
          <w:rFonts w:hint="eastAsia" w:ascii="Times New Roman" w:hAnsi="Times New Roman" w:eastAsia="仿宋_GB2312" w:cs="Times New Roman"/>
          <w:sz w:val="32"/>
          <w:szCs w:val="32"/>
        </w:rPr>
        <w:t>探索适用于武义县地质灾害监测的新技术、新方法、新装备，大力推广普适性监测仪器，建设覆盖重点地质灾害风险防范区和隐患点的自动化专业监测预警网络。到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年，累计建成地质灾害专业监测点</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个，新增山区雨量自动监测站</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处。</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、提高地质灾害群测群防水平。</w:t>
      </w:r>
      <w:r>
        <w:rPr>
          <w:rFonts w:hint="eastAsia" w:ascii="Times New Roman" w:hAnsi="Times New Roman" w:eastAsia="仿宋_GB2312" w:cs="Times New Roman"/>
          <w:sz w:val="32"/>
          <w:szCs w:val="32"/>
        </w:rPr>
        <w:t>在网格员制度基础上，按照“五化”模式，加强地质灾害群测群防员队伍建设，充分保障地质灾害群测群防员工作经费，解决防灾“最后一公里”问题。到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年，形成不少于</w:t>
      </w:r>
      <w:r>
        <w:rPr>
          <w:rFonts w:ascii="Times New Roman" w:hAnsi="Times New Roman" w:eastAsia="仿宋_GB2312" w:cs="Times New Roman"/>
          <w:sz w:val="32"/>
          <w:szCs w:val="32"/>
        </w:rPr>
        <w:t>200</w:t>
      </w:r>
      <w:r>
        <w:rPr>
          <w:rFonts w:hint="eastAsia" w:ascii="Times New Roman" w:hAnsi="Times New Roman" w:eastAsia="仿宋_GB2312" w:cs="Times New Roman"/>
          <w:sz w:val="32"/>
          <w:szCs w:val="32"/>
        </w:rPr>
        <w:t>人的地质灾害群测群防员和防灾管理员队伍。</w:t>
      </w:r>
    </w:p>
    <w:p>
      <w:pPr>
        <w:pStyle w:val="11"/>
        <w:spacing w:before="0" w:after="0" w:line="600" w:lineRule="exact"/>
        <w:ind w:firstLine="643" w:firstLineChars="200"/>
        <w:jc w:val="left"/>
        <w:rPr>
          <w:rFonts w:ascii="Times New Roman" w:hAnsi="Times New Roman" w:eastAsia="楷体_GB2312" w:cs="仿宋_GB2312"/>
        </w:rPr>
      </w:pPr>
      <w:bookmarkStart w:id="38" w:name="_Toc74663439"/>
      <w:r>
        <w:rPr>
          <w:rFonts w:hint="eastAsia" w:ascii="Times New Roman" w:hAnsi="Times New Roman" w:eastAsia="楷体_GB2312" w:cs="仿宋_GB2312"/>
        </w:rPr>
        <w:t>（三）地质灾害风险预报预警工程</w:t>
      </w:r>
      <w:bookmarkEnd w:id="38"/>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1、完善地质灾害风险预报系统。</w:t>
      </w:r>
      <w:r>
        <w:rPr>
          <w:rFonts w:hint="eastAsia" w:ascii="Times New Roman" w:hAnsi="Times New Roman" w:eastAsia="仿宋_GB2312" w:cs="Times New Roman"/>
          <w:sz w:val="32"/>
          <w:szCs w:val="32"/>
        </w:rPr>
        <w:t>加强台风暴雨引发地质灾害机理研究，加大资规、气象、水利等部门数据共享力度，进一步完善县级地质灾害气象风险预报模型，及时发布区域地质灾害风险等级“五色图”。到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年，为省里建成地质灾害风险预报一体化平台提供有力支撑。</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w:t>
      </w:r>
      <w:bookmarkStart w:id="39" w:name="_Hlk74060775"/>
      <w:r>
        <w:rPr>
          <w:rFonts w:hint="eastAsia" w:ascii="Times New Roman" w:hAnsi="Times New Roman" w:eastAsia="仿宋_GB2312" w:cs="Times New Roman"/>
          <w:b/>
          <w:bCs/>
          <w:sz w:val="32"/>
          <w:szCs w:val="32"/>
        </w:rPr>
        <w:t>配合建设</w:t>
      </w:r>
      <w:bookmarkEnd w:id="39"/>
      <w:r>
        <w:rPr>
          <w:rFonts w:hint="eastAsia" w:ascii="Times New Roman" w:hAnsi="Times New Roman" w:eastAsia="仿宋_GB2312" w:cs="Times New Roman"/>
          <w:b/>
          <w:bCs/>
          <w:sz w:val="32"/>
          <w:szCs w:val="32"/>
        </w:rPr>
        <w:t>地质灾害风险预警系统。</w:t>
      </w:r>
      <w:r>
        <w:rPr>
          <w:rFonts w:hint="eastAsia" w:ascii="Times New Roman" w:hAnsi="Times New Roman" w:eastAsia="仿宋_GB2312" w:cs="Times New Roman"/>
          <w:sz w:val="32"/>
          <w:szCs w:val="32"/>
        </w:rPr>
        <w:t>开展地质灾害发生风险概率的降雨阈值研究，定期发布降雨阈值。配合省里建立并不断完善地质灾害风险预警系统，及时发布地质灾害风险防范区实时预警风险提示单，为科学决策提供依据。</w:t>
      </w:r>
    </w:p>
    <w:p>
      <w:pPr>
        <w:pStyle w:val="11"/>
        <w:spacing w:before="0" w:after="0" w:line="600" w:lineRule="exact"/>
        <w:ind w:firstLine="643" w:firstLineChars="200"/>
        <w:jc w:val="left"/>
        <w:rPr>
          <w:rFonts w:ascii="Times New Roman" w:hAnsi="Times New Roman" w:eastAsia="楷体_GB2312" w:cs="仿宋_GB2312"/>
        </w:rPr>
      </w:pPr>
      <w:bookmarkStart w:id="40" w:name="_Toc74663440"/>
      <w:r>
        <w:rPr>
          <w:rFonts w:hint="eastAsia" w:ascii="Times New Roman" w:hAnsi="Times New Roman" w:eastAsia="楷体_GB2312" w:cs="仿宋_GB2312"/>
        </w:rPr>
        <w:t>（四）地质灾害风险管控工程</w:t>
      </w:r>
      <w:bookmarkEnd w:id="40"/>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配合建设地质灾害风险管控平台。</w:t>
      </w:r>
      <w:r>
        <w:rPr>
          <w:rFonts w:hint="eastAsia" w:ascii="Times New Roman" w:hAnsi="Times New Roman" w:eastAsia="仿宋_GB2312" w:cs="Times New Roman"/>
          <w:sz w:val="32"/>
          <w:szCs w:val="32"/>
        </w:rPr>
        <w:t>在地质灾害信息综合管理平台的基础上，进一步完善信息集成、智能分析、风险研判、决策支持和应急响应等功能，实现地质灾害风险“一张图”实时动态管理。到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年，通过收集，整理，上传省里所需资料配合建成地质灾害风险管控平台。</w:t>
      </w:r>
    </w:p>
    <w:p>
      <w:pPr>
        <w:pStyle w:val="11"/>
        <w:spacing w:before="0" w:after="0" w:line="600" w:lineRule="exact"/>
        <w:ind w:firstLine="643" w:firstLineChars="200"/>
        <w:jc w:val="left"/>
        <w:rPr>
          <w:rFonts w:ascii="Times New Roman" w:hAnsi="Times New Roman" w:eastAsia="楷体_GB2312" w:cs="仿宋_GB2312"/>
        </w:rPr>
      </w:pPr>
      <w:bookmarkStart w:id="41" w:name="_Toc74663441"/>
      <w:r>
        <w:rPr>
          <w:rFonts w:hint="eastAsia" w:ascii="Times New Roman" w:hAnsi="Times New Roman" w:eastAsia="楷体_GB2312" w:cs="仿宋_GB2312"/>
        </w:rPr>
        <w:t>（五）地质灾害综合治理工程</w:t>
      </w:r>
      <w:bookmarkEnd w:id="41"/>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实施地质灾害综合治理。</w:t>
      </w:r>
      <w:r>
        <w:rPr>
          <w:rFonts w:hint="eastAsia" w:ascii="Times New Roman" w:hAnsi="Times New Roman" w:eastAsia="仿宋_GB2312" w:cs="Times New Roman"/>
          <w:sz w:val="32"/>
          <w:szCs w:val="32"/>
        </w:rPr>
        <w:t>按照“即查即治”要求，对新发生和发现的地质灾害按照轻重缓急，有计划、有组织、分期分批开展综合治理，实施</w:t>
      </w:r>
      <w:r>
        <w:rPr>
          <w:rFonts w:ascii="Times New Roman" w:hAnsi="Times New Roman" w:eastAsia="仿宋_GB2312" w:cs="Times New Roman"/>
          <w:sz w:val="32"/>
          <w:szCs w:val="32"/>
        </w:rPr>
        <w:t>11</w:t>
      </w:r>
      <w:r>
        <w:rPr>
          <w:rFonts w:hint="eastAsia" w:ascii="Times New Roman" w:hAnsi="Times New Roman" w:eastAsia="仿宋_GB2312" w:cs="Times New Roman"/>
          <w:sz w:val="32"/>
          <w:szCs w:val="32"/>
        </w:rPr>
        <w:t>处地质灾害工程治理与避让搬迁。</w:t>
      </w:r>
    </w:p>
    <w:p>
      <w:pPr>
        <w:pStyle w:val="11"/>
        <w:spacing w:before="0" w:after="0" w:line="600" w:lineRule="exact"/>
        <w:ind w:firstLine="643" w:firstLineChars="200"/>
        <w:jc w:val="left"/>
        <w:rPr>
          <w:rFonts w:ascii="Times New Roman" w:hAnsi="Times New Roman" w:eastAsia="楷体_GB2312" w:cs="仿宋_GB2312"/>
        </w:rPr>
      </w:pPr>
      <w:bookmarkStart w:id="42" w:name="_Toc74663442"/>
      <w:r>
        <w:rPr>
          <w:rFonts w:hint="eastAsia" w:ascii="Times New Roman" w:hAnsi="Times New Roman" w:eastAsia="楷体_GB2312" w:cs="仿宋_GB2312"/>
        </w:rPr>
        <w:t>（六）地质灾害人才和宣教工程</w:t>
      </w:r>
      <w:bookmarkEnd w:id="42"/>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开展宣传培训。</w:t>
      </w:r>
      <w:r>
        <w:rPr>
          <w:rFonts w:hint="eastAsia" w:ascii="Times New Roman" w:hAnsi="Times New Roman" w:eastAsia="仿宋_GB2312" w:cs="Times New Roman"/>
          <w:sz w:val="32"/>
          <w:szCs w:val="32"/>
        </w:rPr>
        <w:t>建立完善日常专业培训机制，每年对基层地质灾害防治相关人员、地质灾害风险防范区及隐患点周边群众开展不同层次、各种形式的地质灾害防治培训及科普教育。</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年底完成宣传培训</w:t>
      </w:r>
      <w:r>
        <w:rPr>
          <w:rFonts w:ascii="Times New Roman" w:hAnsi="Times New Roman" w:eastAsia="仿宋_GB2312" w:cs="Times New Roman"/>
          <w:sz w:val="32"/>
          <w:szCs w:val="32"/>
        </w:rPr>
        <w:t>3000</w:t>
      </w:r>
      <w:r>
        <w:rPr>
          <w:rFonts w:hint="eastAsia" w:ascii="Times New Roman" w:hAnsi="Times New Roman" w:eastAsia="仿宋_GB2312" w:cs="Times New Roman"/>
          <w:sz w:val="32"/>
          <w:szCs w:val="32"/>
        </w:rPr>
        <w:t>人次。</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深入开展“驻县进乡”。</w:t>
      </w:r>
      <w:r>
        <w:rPr>
          <w:rFonts w:hint="eastAsia" w:ascii="Times New Roman" w:hAnsi="Times New Roman" w:eastAsia="仿宋_GB2312" w:cs="Times New Roman"/>
          <w:sz w:val="32"/>
          <w:szCs w:val="32"/>
        </w:rPr>
        <w:t>建立县地质灾害应急救援专业队伍，与基层防灾管理人员、群测群防员形成联动，发挥专业技术人员在“四查”和宣传培训中的指导作用，不断提升防灾队伍战斗力。</w:t>
      </w:r>
    </w:p>
    <w:bookmarkEnd w:id="36"/>
    <w:p>
      <w:pPr>
        <w:widowControl/>
        <w:spacing w:line="600" w:lineRule="exact"/>
        <w:ind w:firstLine="640" w:firstLineChars="200"/>
        <w:jc w:val="left"/>
        <w:rPr>
          <w:rFonts w:ascii="Times New Roman" w:hAnsi="Times New Roman"/>
        </w:rPr>
      </w:pPr>
      <w:r>
        <w:rPr>
          <w:rFonts w:ascii="Times New Roman" w:hAnsi="Times New Roman" w:eastAsia="仿宋_GB2312" w:cs="Times New Roman"/>
          <w:sz w:val="32"/>
          <w:szCs w:val="32"/>
        </w:rPr>
        <w:br w:type="page"/>
      </w:r>
      <w:bookmarkStart w:id="43" w:name="_Toc74663443"/>
      <w:r>
        <w:rPr>
          <w:rFonts w:hint="eastAsia" w:ascii="Times New Roman" w:hAnsi="Times New Roman" w:eastAsia="黑体" w:cs="黑体"/>
          <w:sz w:val="32"/>
          <w:szCs w:val="32"/>
        </w:rPr>
        <w:t>七、保障措施</w:t>
      </w:r>
      <w:bookmarkEnd w:id="43"/>
    </w:p>
    <w:p>
      <w:pPr>
        <w:pStyle w:val="11"/>
        <w:spacing w:before="0" w:after="0" w:line="600" w:lineRule="exact"/>
        <w:ind w:firstLine="643" w:firstLineChars="200"/>
        <w:jc w:val="left"/>
        <w:rPr>
          <w:rFonts w:ascii="Times New Roman" w:hAnsi="Times New Roman" w:eastAsia="楷体_GB2312" w:cs="仿宋_GB2312"/>
        </w:rPr>
      </w:pPr>
      <w:bookmarkStart w:id="44" w:name="_Toc74663444"/>
      <w:bookmarkStart w:id="45" w:name="_Hlk66830934"/>
      <w:r>
        <w:rPr>
          <w:rFonts w:hint="eastAsia" w:ascii="Times New Roman" w:hAnsi="Times New Roman" w:eastAsia="楷体_GB2312" w:cs="仿宋_GB2312"/>
        </w:rPr>
        <w:t>（一）加强组织领导，明确责任分工</w:t>
      </w:r>
      <w:bookmarkEnd w:id="44"/>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切实发挥地质灾害防治工作领导小组的作用，经商局、教育局、财政局、资规局、建设局、交通局、水务局、农业局、文广局、应急局、气象局等有关单位要按照职责分工，负责指导本行业、本部门地质灾害防治相关工作，密切协作，形成合力。加强组织领导、协调沟通，制定政策措施，明确责任分工，确保按时保质完成工作任务。</w:t>
      </w:r>
      <w:bookmarkEnd w:id="45"/>
    </w:p>
    <w:p>
      <w:pPr>
        <w:pStyle w:val="11"/>
        <w:spacing w:before="0" w:after="0" w:line="600" w:lineRule="exact"/>
        <w:ind w:firstLine="643" w:firstLineChars="200"/>
        <w:jc w:val="left"/>
        <w:rPr>
          <w:rFonts w:ascii="Times New Roman" w:hAnsi="Times New Roman" w:eastAsia="楷体_GB2312" w:cs="仿宋_GB2312"/>
        </w:rPr>
      </w:pPr>
      <w:bookmarkStart w:id="46" w:name="_Toc74663445"/>
      <w:bookmarkStart w:id="47" w:name="_Hlk66830963"/>
      <w:r>
        <w:rPr>
          <w:rFonts w:hint="eastAsia" w:ascii="Times New Roman" w:hAnsi="Times New Roman" w:eastAsia="楷体_GB2312" w:cs="仿宋_GB2312"/>
        </w:rPr>
        <w:t>（二）做好资金保障，加强项目管理</w:t>
      </w:r>
      <w:bookmarkEnd w:id="46"/>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财政要做好相关资金保障，把地质灾害防治工作经费纳入年度财政预算，切实保障地质灾害防治能力提升重点工程的实施。切实加强重点项目及投资资金的监督管理，严格实行项目实施的绩效评价，提高项目实施的成效。</w:t>
      </w:r>
    </w:p>
    <w:p>
      <w:pPr>
        <w:pStyle w:val="11"/>
        <w:spacing w:before="0" w:after="0" w:line="600" w:lineRule="exact"/>
        <w:ind w:firstLine="643" w:firstLineChars="200"/>
        <w:jc w:val="left"/>
        <w:rPr>
          <w:rFonts w:ascii="Times New Roman" w:hAnsi="Times New Roman" w:eastAsia="楷体_GB2312" w:cs="仿宋_GB2312"/>
        </w:rPr>
      </w:pPr>
      <w:bookmarkStart w:id="48" w:name="_Toc74663446"/>
      <w:r>
        <w:rPr>
          <w:rFonts w:hint="eastAsia" w:ascii="Times New Roman" w:hAnsi="Times New Roman" w:eastAsia="楷体_GB2312" w:cs="仿宋_GB2312"/>
        </w:rPr>
        <w:t>（三）开展创新试点，加强队伍建设</w:t>
      </w:r>
      <w:bookmarkEnd w:id="48"/>
    </w:p>
    <w:p>
      <w:pPr>
        <w:spacing w:line="600" w:lineRule="exact"/>
        <w:ind w:firstLine="640" w:firstLineChars="200"/>
        <w:rPr>
          <w:rFonts w:ascii="Times New Roman" w:hAnsi="Times New Roman" w:eastAsia="仿宋_GB2312" w:cs="Times New Roman"/>
          <w:sz w:val="32"/>
          <w:szCs w:val="32"/>
        </w:rPr>
      </w:pPr>
      <w:bookmarkStart w:id="49" w:name="_Hlk75423842"/>
      <w:r>
        <w:rPr>
          <w:rFonts w:hint="eastAsia" w:ascii="Times New Roman" w:hAnsi="Times New Roman" w:eastAsia="仿宋_GB2312" w:cs="Times New Roman"/>
          <w:sz w:val="32"/>
          <w:szCs w:val="32"/>
        </w:rPr>
        <w:t>加大地质灾害防治力度，配合省里开展地质灾害风险隐患双控试点，提升地质灾害“整体智治”能力。</w:t>
      </w:r>
      <w:bookmarkEnd w:id="49"/>
      <w:r>
        <w:rPr>
          <w:rFonts w:hint="eastAsia" w:ascii="Times New Roman" w:hAnsi="Times New Roman" w:eastAsia="仿宋_GB2312" w:cs="Times New Roman"/>
          <w:sz w:val="32"/>
          <w:szCs w:val="32"/>
        </w:rPr>
        <w:t>探索开展风险区管理、群测群防员管理、专业监测点标准化建设等工作，形成一批可复制、可推广的经验做法。充分利用地质灾害防治地质队员“驻县进乡”活动，充实县、乡两级专业技术人员队伍。</w:t>
      </w:r>
    </w:p>
    <w:p>
      <w:pPr>
        <w:pStyle w:val="11"/>
        <w:spacing w:before="0" w:after="0" w:line="600" w:lineRule="exact"/>
        <w:ind w:firstLine="643" w:firstLineChars="200"/>
        <w:jc w:val="left"/>
        <w:rPr>
          <w:rFonts w:ascii="Times New Roman" w:hAnsi="Times New Roman" w:eastAsia="楷体_GB2312" w:cs="仿宋_GB2312"/>
        </w:rPr>
      </w:pPr>
      <w:bookmarkStart w:id="50" w:name="_Toc74663447"/>
      <w:r>
        <w:rPr>
          <w:rFonts w:hint="eastAsia" w:ascii="Times New Roman" w:hAnsi="Times New Roman" w:eastAsia="楷体_GB2312" w:cs="仿宋_GB2312"/>
        </w:rPr>
        <w:t>（四）开展科普教育，共创良好氛围</w:t>
      </w:r>
      <w:bookmarkEnd w:id="50"/>
    </w:p>
    <w:p>
      <w:pPr>
        <w:spacing w:line="600" w:lineRule="exact"/>
        <w:ind w:firstLine="640" w:firstLineChars="200"/>
        <w:rPr>
          <w:rFonts w:ascii="Times New Roman" w:hAnsi="Times New Roman" w:eastAsia="仿宋" w:cs="黑体"/>
          <w:b w:val="0"/>
          <w:bCs w:val="0"/>
          <w:sz w:val="32"/>
          <w:szCs w:val="32"/>
        </w:rPr>
      </w:pPr>
      <w:r>
        <w:rPr>
          <w:rFonts w:hint="eastAsia" w:ascii="Times New Roman" w:hAnsi="Times New Roman" w:eastAsia="仿宋_GB2312" w:cs="Times New Roman"/>
          <w:sz w:val="32"/>
          <w:szCs w:val="32"/>
        </w:rPr>
        <w:t>要深入开展地质灾害防治方面的法律法规及科普知识的宣传和培训教育。依托广播、电视、报刊、网络等媒体，利用世界地球日、全国防灾减灾日、全国土地日等时机开展多形式、多层次的宣传教育活动，增强全社会预防地质灾害的意识，形成群众积极配合、社会共同参与的良好氛围。</w:t>
      </w:r>
      <w:bookmarkEnd w:id="47"/>
    </w:p>
    <w:p>
      <w:pPr>
        <w:rPr>
          <w:rFonts w:hint="eastAsia" w:ascii="Times New Roman" w:hAnsi="Times New Roman" w:eastAsia="黑体" w:cs="黑体"/>
          <w:sz w:val="32"/>
          <w:szCs w:val="32"/>
        </w:rPr>
      </w:pPr>
      <w:r>
        <w:rPr>
          <w:rFonts w:hint="eastAsia" w:ascii="Times New Roman" w:hAnsi="Times New Roman" w:eastAsia="黑体" w:cs="黑体"/>
          <w:sz w:val="32"/>
          <w:szCs w:val="32"/>
        </w:rPr>
        <w:br w:type="page"/>
      </w:r>
    </w:p>
    <w:p>
      <w:pPr>
        <w:widowControl/>
        <w:spacing w:line="600" w:lineRule="exact"/>
        <w:ind w:firstLine="640" w:firstLineChars="200"/>
        <w:jc w:val="left"/>
        <w:rPr>
          <w:rFonts w:hint="eastAsia" w:ascii="Times New Roman" w:hAnsi="Times New Roman" w:eastAsia="黑体" w:cs="黑体"/>
          <w:sz w:val="32"/>
          <w:szCs w:val="32"/>
        </w:rPr>
      </w:pPr>
      <w:r>
        <w:rPr>
          <w:rFonts w:hint="eastAsia" w:ascii="Times New Roman" w:hAnsi="Times New Roman" w:eastAsia="黑体" w:cs="黑体"/>
          <w:sz w:val="32"/>
          <w:szCs w:val="32"/>
        </w:rPr>
        <w:t>八、附 则</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《规划》由规划文本、图纸、附表、附件共同组成，规划文本和图纸具有同等法律效力。</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《规划》实施年限为2021～2025年。</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《规划》由仙居县自然资源和规划局负责解释。</w:t>
      </w:r>
    </w:p>
    <w:p>
      <w:pPr>
        <w:spacing w:line="600" w:lineRule="exact"/>
        <w:ind w:firstLine="640" w:firstLineChars="200"/>
        <w:rPr>
          <w:rFonts w:hint="eastAsia" w:ascii="Times New Roman" w:hAnsi="Times New Roman" w:eastAsia="仿宋_GB2312" w:cs="Times New Roman"/>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widowControl/>
        <w:jc w:val="center"/>
        <w:rPr>
          <w:rFonts w:ascii="Times New Roman" w:hAnsi="Times New Roman" w:eastAsia="黑体" w:cs="仿宋_GB2312"/>
          <w:b/>
          <w:bCs/>
          <w:kern w:val="0"/>
          <w:sz w:val="24"/>
          <w:szCs w:val="24"/>
        </w:rPr>
      </w:pPr>
      <w:bookmarkStart w:id="51" w:name="_Hlk73606670"/>
      <w:r>
        <w:rPr>
          <w:rFonts w:hint="eastAsia" w:ascii="Times New Roman" w:hAnsi="Times New Roman" w:eastAsia="黑体" w:cs="仿宋_GB2312"/>
          <w:b/>
          <w:bCs/>
          <w:kern w:val="0"/>
          <w:sz w:val="24"/>
          <w:szCs w:val="24"/>
        </w:rPr>
        <w:t>附表</w:t>
      </w:r>
      <w:r>
        <w:rPr>
          <w:rFonts w:ascii="Times New Roman" w:hAnsi="Times New Roman" w:eastAsia="黑体" w:cs="仿宋_GB2312"/>
          <w:b/>
          <w:bCs/>
          <w:kern w:val="0"/>
          <w:sz w:val="24"/>
          <w:szCs w:val="24"/>
        </w:rPr>
        <w:t xml:space="preserve">1  </w:t>
      </w:r>
      <w:r>
        <w:rPr>
          <w:rFonts w:hint="eastAsia" w:ascii="Times New Roman" w:hAnsi="Times New Roman" w:eastAsia="黑体" w:cs="仿宋_GB2312"/>
          <w:b/>
          <w:bCs/>
          <w:kern w:val="0"/>
          <w:sz w:val="24"/>
          <w:szCs w:val="24"/>
        </w:rPr>
        <w:t>武义县地质灾害隐患点一览表</w:t>
      </w:r>
    </w:p>
    <w:tbl>
      <w:tblPr>
        <w:tblStyle w:val="16"/>
        <w:tblW w:w="14114" w:type="dxa"/>
        <w:tblInd w:w="0" w:type="dxa"/>
        <w:tblLayout w:type="fixed"/>
        <w:tblCellMar>
          <w:top w:w="0" w:type="dxa"/>
          <w:left w:w="0" w:type="dxa"/>
          <w:bottom w:w="0" w:type="dxa"/>
          <w:right w:w="0" w:type="dxa"/>
        </w:tblCellMar>
      </w:tblPr>
      <w:tblGrid>
        <w:gridCol w:w="478"/>
        <w:gridCol w:w="911"/>
        <w:gridCol w:w="2261"/>
        <w:gridCol w:w="878"/>
        <w:gridCol w:w="1171"/>
        <w:gridCol w:w="1135"/>
        <w:gridCol w:w="697"/>
        <w:gridCol w:w="608"/>
        <w:gridCol w:w="617"/>
        <w:gridCol w:w="849"/>
        <w:gridCol w:w="960"/>
        <w:gridCol w:w="901"/>
        <w:gridCol w:w="830"/>
        <w:gridCol w:w="976"/>
        <w:gridCol w:w="842"/>
      </w:tblGrid>
      <w:tr>
        <w:tblPrEx>
          <w:tblCellMar>
            <w:top w:w="0" w:type="dxa"/>
            <w:left w:w="0" w:type="dxa"/>
            <w:bottom w:w="0" w:type="dxa"/>
            <w:right w:w="0" w:type="dxa"/>
          </w:tblCellMar>
        </w:tblPrEx>
        <w:trPr>
          <w:trHeight w:val="645" w:hRule="atLeast"/>
          <w:tblHeader/>
        </w:trPr>
        <w:tc>
          <w:tcPr>
            <w:tcW w:w="4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序号</w:t>
            </w:r>
          </w:p>
        </w:tc>
        <w:tc>
          <w:tcPr>
            <w:tcW w:w="9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编号</w:t>
            </w:r>
          </w:p>
        </w:tc>
        <w:tc>
          <w:tcPr>
            <w:tcW w:w="2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位置</w:t>
            </w:r>
          </w:p>
        </w:tc>
        <w:tc>
          <w:tcPr>
            <w:tcW w:w="8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类型</w:t>
            </w:r>
          </w:p>
        </w:tc>
        <w:tc>
          <w:tcPr>
            <w:tcW w:w="230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坐标</w:t>
            </w:r>
          </w:p>
        </w:tc>
        <w:tc>
          <w:tcPr>
            <w:tcW w:w="1922"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规模</w:t>
            </w:r>
          </w:p>
        </w:tc>
        <w:tc>
          <w:tcPr>
            <w:tcW w:w="271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威胁对象</w:t>
            </w:r>
          </w:p>
        </w:tc>
        <w:tc>
          <w:tcPr>
            <w:tcW w:w="8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危害程度</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防治措施建议</w:t>
            </w:r>
          </w:p>
        </w:tc>
        <w:tc>
          <w:tcPr>
            <w:tcW w:w="8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防治措施完成时间</w:t>
            </w:r>
          </w:p>
        </w:tc>
      </w:tr>
      <w:tr>
        <w:tblPrEx>
          <w:tblCellMar>
            <w:top w:w="0" w:type="dxa"/>
            <w:left w:w="0" w:type="dxa"/>
            <w:bottom w:w="0" w:type="dxa"/>
            <w:right w:w="0" w:type="dxa"/>
          </w:tblCellMar>
        </w:tblPrEx>
        <w:trPr>
          <w:trHeight w:val="979" w:hRule="atLeast"/>
          <w:tblHeader/>
        </w:trPr>
        <w:tc>
          <w:tcPr>
            <w:tcW w:w="4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9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22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8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117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东经</w:t>
            </w:r>
          </w:p>
        </w:tc>
        <w:tc>
          <w:tcPr>
            <w:tcW w:w="113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北纬</w:t>
            </w:r>
          </w:p>
        </w:tc>
        <w:tc>
          <w:tcPr>
            <w:tcW w:w="69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面积（</w:t>
            </w:r>
            <w:r>
              <w:rPr>
                <w:rFonts w:ascii="Times New Roman" w:hAnsi="Times New Roman" w:eastAsia="仿宋_GB2312" w:cs="Times New Roman"/>
                <w:b/>
                <w:bCs/>
                <w:kern w:val="0"/>
                <w:szCs w:val="21"/>
              </w:rPr>
              <w:t>m</w:t>
            </w:r>
            <w:r>
              <w:rPr>
                <w:rFonts w:ascii="Times New Roman" w:hAnsi="Times New Roman" w:eastAsia="仿宋_GB2312" w:cs="Times New Roman"/>
                <w:b/>
                <w:bCs/>
                <w:kern w:val="0"/>
                <w:szCs w:val="21"/>
                <w:vertAlign w:val="superscript"/>
              </w:rPr>
              <w:t>2</w:t>
            </w:r>
            <w:r>
              <w:rPr>
                <w:rFonts w:hint="eastAsia" w:ascii="Times New Roman" w:hAnsi="Times New Roman" w:eastAsia="仿宋_GB2312" w:cs="Times New Roman"/>
                <w:b/>
                <w:bCs/>
                <w:kern w:val="0"/>
                <w:szCs w:val="21"/>
              </w:rPr>
              <w:t>）</w:t>
            </w:r>
          </w:p>
        </w:tc>
        <w:tc>
          <w:tcPr>
            <w:tcW w:w="60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等级</w:t>
            </w:r>
          </w:p>
        </w:tc>
        <w:tc>
          <w:tcPr>
            <w:tcW w:w="61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稳定性</w:t>
            </w:r>
          </w:p>
        </w:tc>
        <w:tc>
          <w:tcPr>
            <w:tcW w:w="849"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威胁户数（户）</w:t>
            </w:r>
          </w:p>
        </w:tc>
        <w:tc>
          <w:tcPr>
            <w:tcW w:w="96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威胁人口</w:t>
            </w:r>
            <w:r>
              <w:rPr>
                <w:rFonts w:ascii="Times New Roman" w:hAnsi="Times New Roman" w:eastAsia="仿宋_GB2312" w:cs="Times New Roman"/>
                <w:b/>
                <w:bCs/>
                <w:kern w:val="0"/>
                <w:szCs w:val="21"/>
              </w:rPr>
              <w:br w:type="textWrapping"/>
            </w:r>
            <w:r>
              <w:rPr>
                <w:rFonts w:hint="eastAsia" w:ascii="Times New Roman" w:hAnsi="Times New Roman" w:eastAsia="仿宋_GB2312" w:cs="Times New Roman"/>
                <w:b/>
                <w:bCs/>
                <w:kern w:val="0"/>
                <w:szCs w:val="21"/>
              </w:rPr>
              <w:t>（人）</w:t>
            </w:r>
          </w:p>
        </w:tc>
        <w:tc>
          <w:tcPr>
            <w:tcW w:w="9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威胁财产（万元）</w:t>
            </w:r>
          </w:p>
        </w:tc>
        <w:tc>
          <w:tcPr>
            <w:tcW w:w="8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p>
        </w:tc>
      </w:tr>
      <w:tr>
        <w:tblPrEx>
          <w:tblCellMar>
            <w:top w:w="0" w:type="dxa"/>
            <w:left w:w="0" w:type="dxa"/>
            <w:bottom w:w="0" w:type="dxa"/>
            <w:right w:w="0" w:type="dxa"/>
          </w:tblCellMar>
        </w:tblPrEx>
        <w:trPr>
          <w:trHeight w:val="34"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1</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WY001</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茭道镇杨家村</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地面塌陷</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119</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52'59.00</w:t>
            </w:r>
            <w:r>
              <w:rPr>
                <w:rFonts w:hint="eastAsia" w:ascii="Times New Roman" w:hAnsi="Times New Roman" w:eastAsia="仿宋_GB2312" w:cs="Times New Roman"/>
                <w:color w:val="000000"/>
                <w:szCs w:val="21"/>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28</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59'07.00</w:t>
            </w:r>
            <w:r>
              <w:rPr>
                <w:rFonts w:hint="eastAsia" w:ascii="Times New Roman" w:hAnsi="Times New Roman" w:eastAsia="仿宋_GB2312" w:cs="Times New Roman"/>
                <w:color w:val="000000"/>
                <w:szCs w:val="21"/>
              </w:rPr>
              <w:t>″</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800000</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中型</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较差</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80</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olor w:val="000000"/>
                <w:szCs w:val="21"/>
              </w:rPr>
              <w:t>一般级</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群测群防</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长期监测</w:t>
            </w:r>
          </w:p>
        </w:tc>
      </w:tr>
      <w:tr>
        <w:tblPrEx>
          <w:tblCellMar>
            <w:top w:w="0" w:type="dxa"/>
            <w:left w:w="0" w:type="dxa"/>
            <w:bottom w:w="0" w:type="dxa"/>
            <w:right w:w="0" w:type="dxa"/>
          </w:tblCellMar>
        </w:tblPrEx>
        <w:trPr>
          <w:trHeight w:val="34"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2</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WY002</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履坦镇徐主村</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地面塌陷</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119</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44'48.00</w:t>
            </w:r>
            <w:r>
              <w:rPr>
                <w:rFonts w:hint="eastAsia" w:ascii="Times New Roman" w:hAnsi="Times New Roman" w:eastAsia="仿宋_GB2312" w:cs="Times New Roman"/>
                <w:color w:val="000000"/>
                <w:szCs w:val="21"/>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28</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58'40.00</w:t>
            </w:r>
            <w:r>
              <w:rPr>
                <w:rFonts w:hint="eastAsia" w:ascii="Times New Roman" w:hAnsi="Times New Roman" w:eastAsia="仿宋_GB2312" w:cs="Times New Roman"/>
                <w:color w:val="000000"/>
                <w:szCs w:val="21"/>
              </w:rPr>
              <w:t>″</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7</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小型</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较差</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80</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olor w:val="000000"/>
                <w:szCs w:val="21"/>
              </w:rPr>
              <w:t>一般级</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群测群防</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长期监测</w:t>
            </w:r>
          </w:p>
        </w:tc>
      </w:tr>
      <w:tr>
        <w:tblPrEx>
          <w:tblCellMar>
            <w:top w:w="0" w:type="dxa"/>
            <w:left w:w="0" w:type="dxa"/>
            <w:bottom w:w="0" w:type="dxa"/>
            <w:right w:w="0" w:type="dxa"/>
          </w:tblCellMar>
        </w:tblPrEx>
        <w:trPr>
          <w:trHeight w:val="34"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3</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WY003</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白洋街道后溪村后周垄</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地面塌陷</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119</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51'08.00</w:t>
            </w:r>
            <w:r>
              <w:rPr>
                <w:rFonts w:hint="eastAsia" w:ascii="Times New Roman" w:hAnsi="Times New Roman" w:eastAsia="仿宋_GB2312" w:cs="Times New Roman"/>
                <w:color w:val="000000"/>
                <w:szCs w:val="21"/>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28</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55'57.00</w:t>
            </w:r>
            <w:r>
              <w:rPr>
                <w:rFonts w:hint="eastAsia" w:ascii="Times New Roman" w:hAnsi="Times New Roman" w:eastAsia="仿宋_GB2312" w:cs="Times New Roman"/>
                <w:color w:val="000000"/>
                <w:szCs w:val="21"/>
              </w:rPr>
              <w:t>″</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104.5</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小型</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较差</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350</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olor w:val="000000"/>
                <w:szCs w:val="21"/>
              </w:rPr>
              <w:t>较大级</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群测群防</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长期监测</w:t>
            </w:r>
          </w:p>
        </w:tc>
      </w:tr>
      <w:tr>
        <w:tblPrEx>
          <w:tblCellMar>
            <w:top w:w="0" w:type="dxa"/>
            <w:left w:w="0" w:type="dxa"/>
            <w:bottom w:w="0" w:type="dxa"/>
            <w:right w:w="0" w:type="dxa"/>
          </w:tblCellMar>
        </w:tblPrEx>
        <w:trPr>
          <w:trHeight w:val="34"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4</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WY004</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开发区深塘村后俸</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地面塌陷</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119</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53'54.00</w:t>
            </w:r>
            <w:r>
              <w:rPr>
                <w:rFonts w:hint="eastAsia" w:ascii="Times New Roman" w:hAnsi="Times New Roman" w:eastAsia="仿宋_GB2312" w:cs="Times New Roman"/>
                <w:color w:val="000000"/>
                <w:szCs w:val="21"/>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28</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55'45.00</w:t>
            </w:r>
            <w:r>
              <w:rPr>
                <w:rFonts w:hint="eastAsia" w:ascii="Times New Roman" w:hAnsi="Times New Roman" w:eastAsia="仿宋_GB2312" w:cs="Times New Roman"/>
                <w:color w:val="000000"/>
                <w:szCs w:val="21"/>
              </w:rPr>
              <w:t>″</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1513</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小型</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较差</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100</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olor w:val="000000"/>
                <w:szCs w:val="21"/>
              </w:rPr>
              <w:t>较大级</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群测群防</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长期监测</w:t>
            </w:r>
          </w:p>
        </w:tc>
      </w:tr>
      <w:tr>
        <w:tblPrEx>
          <w:tblCellMar>
            <w:top w:w="0" w:type="dxa"/>
            <w:left w:w="0" w:type="dxa"/>
            <w:bottom w:w="0" w:type="dxa"/>
            <w:right w:w="0" w:type="dxa"/>
          </w:tblCellMar>
        </w:tblPrEx>
        <w:trPr>
          <w:trHeight w:val="34"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5</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WY005</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开发区深塘村下垄</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地面塌陷</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119</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53'40.00</w:t>
            </w:r>
            <w:r>
              <w:rPr>
                <w:rFonts w:hint="eastAsia" w:ascii="Times New Roman" w:hAnsi="Times New Roman" w:eastAsia="仿宋_GB2312" w:cs="Times New Roman"/>
                <w:color w:val="000000"/>
                <w:szCs w:val="21"/>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28</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55'31.00</w:t>
            </w:r>
            <w:r>
              <w:rPr>
                <w:rFonts w:hint="eastAsia" w:ascii="Times New Roman" w:hAnsi="Times New Roman" w:eastAsia="仿宋_GB2312" w:cs="Times New Roman"/>
                <w:color w:val="000000"/>
                <w:szCs w:val="21"/>
              </w:rPr>
              <w:t>″</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160</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小型</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较差</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50</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olor w:val="000000"/>
                <w:szCs w:val="21"/>
              </w:rPr>
              <w:t>一般级</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群测群防</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长期监测</w:t>
            </w:r>
          </w:p>
        </w:tc>
      </w:tr>
      <w:tr>
        <w:tblPrEx>
          <w:tblCellMar>
            <w:top w:w="0" w:type="dxa"/>
            <w:left w:w="0" w:type="dxa"/>
            <w:bottom w:w="0" w:type="dxa"/>
            <w:right w:w="0" w:type="dxa"/>
          </w:tblCellMar>
        </w:tblPrEx>
        <w:trPr>
          <w:trHeight w:val="34"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6</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WY006</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壶山街道荷叶塘村</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地面塌陷</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119</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44'33.00</w:t>
            </w:r>
            <w:r>
              <w:rPr>
                <w:rFonts w:hint="eastAsia" w:ascii="Times New Roman" w:hAnsi="Times New Roman" w:eastAsia="仿宋_GB2312" w:cs="Times New Roman"/>
                <w:color w:val="000000"/>
                <w:szCs w:val="21"/>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28</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53'44.00</w:t>
            </w:r>
            <w:r>
              <w:rPr>
                <w:rFonts w:hint="eastAsia" w:ascii="Times New Roman" w:hAnsi="Times New Roman" w:eastAsia="仿宋_GB2312" w:cs="Times New Roman"/>
                <w:color w:val="000000"/>
                <w:szCs w:val="21"/>
              </w:rPr>
              <w:t>″</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6680</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小型</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差</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20</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olor w:val="000000"/>
                <w:szCs w:val="21"/>
              </w:rPr>
              <w:t>一般级</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群测群防</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长期监测</w:t>
            </w:r>
          </w:p>
        </w:tc>
      </w:tr>
      <w:tr>
        <w:tblPrEx>
          <w:tblCellMar>
            <w:top w:w="0" w:type="dxa"/>
            <w:left w:w="0" w:type="dxa"/>
            <w:bottom w:w="0" w:type="dxa"/>
            <w:right w:w="0" w:type="dxa"/>
          </w:tblCellMar>
        </w:tblPrEx>
        <w:trPr>
          <w:trHeight w:val="34"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7</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WY007</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熟溪街道余西村余山头</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地面塌陷</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119</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49'35.00</w:t>
            </w:r>
            <w:r>
              <w:rPr>
                <w:rFonts w:hint="eastAsia" w:ascii="Times New Roman" w:hAnsi="Times New Roman" w:eastAsia="仿宋_GB2312" w:cs="Times New Roman"/>
                <w:color w:val="000000"/>
                <w:szCs w:val="21"/>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28</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52'11.00</w:t>
            </w:r>
            <w:r>
              <w:rPr>
                <w:rFonts w:hint="eastAsia" w:ascii="Times New Roman" w:hAnsi="Times New Roman" w:eastAsia="仿宋_GB2312" w:cs="Times New Roman"/>
                <w:color w:val="000000"/>
                <w:szCs w:val="21"/>
              </w:rPr>
              <w:t>″</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32000</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小型</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较差</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90</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olor w:val="000000"/>
                <w:szCs w:val="21"/>
              </w:rPr>
              <w:t>一般级</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群测群防</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长期监测</w:t>
            </w:r>
          </w:p>
        </w:tc>
      </w:tr>
      <w:tr>
        <w:tblPrEx>
          <w:tblCellMar>
            <w:top w:w="0" w:type="dxa"/>
            <w:left w:w="0" w:type="dxa"/>
            <w:bottom w:w="0" w:type="dxa"/>
            <w:right w:w="0" w:type="dxa"/>
          </w:tblCellMar>
        </w:tblPrEx>
        <w:trPr>
          <w:trHeight w:val="34"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8</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WY008</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桐琴镇后金村桐琴果园</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地面塌陷</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119</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56'57.00</w:t>
            </w:r>
            <w:r>
              <w:rPr>
                <w:rFonts w:hint="eastAsia" w:ascii="Times New Roman" w:hAnsi="Times New Roman" w:eastAsia="仿宋_GB2312" w:cs="Times New Roman"/>
                <w:color w:val="000000"/>
                <w:szCs w:val="21"/>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28</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51'39.00</w:t>
            </w:r>
            <w:r>
              <w:rPr>
                <w:rFonts w:hint="eastAsia" w:ascii="Times New Roman" w:hAnsi="Times New Roman" w:eastAsia="仿宋_GB2312" w:cs="Times New Roman"/>
                <w:color w:val="000000"/>
                <w:szCs w:val="21"/>
              </w:rPr>
              <w:t>″</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6730</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小型</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较差</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20</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olor w:val="000000"/>
                <w:szCs w:val="21"/>
              </w:rPr>
              <w:t>一般级</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群测群防</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长期监测</w:t>
            </w:r>
          </w:p>
        </w:tc>
      </w:tr>
      <w:tr>
        <w:tblPrEx>
          <w:tblCellMar>
            <w:top w:w="0" w:type="dxa"/>
            <w:left w:w="0" w:type="dxa"/>
            <w:bottom w:w="0" w:type="dxa"/>
            <w:right w:w="0" w:type="dxa"/>
          </w:tblCellMar>
        </w:tblPrEx>
        <w:trPr>
          <w:trHeight w:val="34"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9</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WY009</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温泉度假区溪里村北头</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地面塌陷</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119</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48'22.00</w:t>
            </w:r>
            <w:r>
              <w:rPr>
                <w:rFonts w:hint="eastAsia" w:ascii="Times New Roman" w:hAnsi="Times New Roman" w:eastAsia="仿宋_GB2312" w:cs="Times New Roman"/>
                <w:color w:val="000000"/>
                <w:szCs w:val="21"/>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28</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50'32.00</w:t>
            </w:r>
            <w:r>
              <w:rPr>
                <w:rFonts w:hint="eastAsia" w:ascii="Times New Roman" w:hAnsi="Times New Roman" w:eastAsia="仿宋_GB2312" w:cs="Times New Roman"/>
                <w:color w:val="000000"/>
                <w:szCs w:val="21"/>
              </w:rPr>
              <w:t>″</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9100</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小型</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较差</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50</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olor w:val="000000"/>
                <w:szCs w:val="21"/>
              </w:rPr>
              <w:t>一般级</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群测群防</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长期监测</w:t>
            </w:r>
          </w:p>
        </w:tc>
      </w:tr>
      <w:tr>
        <w:tblPrEx>
          <w:tblCellMar>
            <w:top w:w="0" w:type="dxa"/>
            <w:left w:w="0" w:type="dxa"/>
            <w:bottom w:w="0" w:type="dxa"/>
            <w:right w:w="0" w:type="dxa"/>
          </w:tblCellMar>
        </w:tblPrEx>
        <w:trPr>
          <w:trHeight w:val="34"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10</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WY010</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白姆乡大红岩景区雄鸡坛</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崩塌</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119</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39'04.31</w:t>
            </w:r>
            <w:r>
              <w:rPr>
                <w:rFonts w:hint="eastAsia" w:ascii="Times New Roman" w:hAnsi="Times New Roman" w:eastAsia="仿宋_GB2312" w:cs="Times New Roman"/>
                <w:color w:val="000000"/>
                <w:szCs w:val="21"/>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28</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49'13.52</w:t>
            </w:r>
            <w:r>
              <w:rPr>
                <w:rFonts w:hint="eastAsia" w:ascii="Times New Roman" w:hAnsi="Times New Roman" w:eastAsia="仿宋_GB2312" w:cs="Times New Roman"/>
                <w:color w:val="000000"/>
                <w:szCs w:val="21"/>
              </w:rPr>
              <w:t>″</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900</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小型</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较差</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40</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olor w:val="000000"/>
                <w:szCs w:val="21"/>
              </w:rPr>
              <w:t>一般级</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群测群防</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长期监测</w:t>
            </w:r>
          </w:p>
        </w:tc>
      </w:tr>
      <w:tr>
        <w:tblPrEx>
          <w:tblCellMar>
            <w:top w:w="0" w:type="dxa"/>
            <w:left w:w="0" w:type="dxa"/>
            <w:bottom w:w="0" w:type="dxa"/>
            <w:right w:w="0" w:type="dxa"/>
          </w:tblCellMar>
        </w:tblPrEx>
        <w:trPr>
          <w:trHeight w:val="34"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11</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WY011</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白姆乡朱宅村</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滑坡</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119</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37'34.20</w:t>
            </w:r>
            <w:r>
              <w:rPr>
                <w:rFonts w:hint="eastAsia" w:ascii="Times New Roman" w:hAnsi="Times New Roman" w:eastAsia="仿宋_GB2312" w:cs="Times New Roman"/>
                <w:color w:val="000000"/>
                <w:szCs w:val="21"/>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28</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48'59.52</w:t>
            </w:r>
            <w:r>
              <w:rPr>
                <w:rFonts w:hint="eastAsia" w:ascii="Times New Roman" w:hAnsi="Times New Roman" w:eastAsia="仿宋_GB2312" w:cs="Times New Roman"/>
                <w:color w:val="000000"/>
                <w:szCs w:val="21"/>
              </w:rPr>
              <w:t>″</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40000</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小型</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较差</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4</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olor w:val="000000"/>
                <w:szCs w:val="21"/>
              </w:rPr>
              <w:t>一般级</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群测群防</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长期监测</w:t>
            </w:r>
          </w:p>
        </w:tc>
      </w:tr>
      <w:tr>
        <w:tblPrEx>
          <w:tblCellMar>
            <w:top w:w="0" w:type="dxa"/>
            <w:left w:w="0" w:type="dxa"/>
            <w:bottom w:w="0" w:type="dxa"/>
            <w:right w:w="0" w:type="dxa"/>
          </w:tblCellMar>
        </w:tblPrEx>
        <w:trPr>
          <w:trHeight w:val="34"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12</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WY012</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大田乡徐村</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地面塌陷</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119</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45'45.00</w:t>
            </w:r>
            <w:r>
              <w:rPr>
                <w:rFonts w:hint="eastAsia" w:ascii="Times New Roman" w:hAnsi="Times New Roman" w:eastAsia="仿宋_GB2312" w:cs="Times New Roman"/>
                <w:color w:val="000000"/>
                <w:szCs w:val="21"/>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28</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47'26.00</w:t>
            </w:r>
            <w:r>
              <w:rPr>
                <w:rFonts w:hint="eastAsia" w:ascii="Times New Roman" w:hAnsi="Times New Roman" w:eastAsia="仿宋_GB2312" w:cs="Times New Roman"/>
                <w:color w:val="000000"/>
                <w:szCs w:val="21"/>
              </w:rPr>
              <w:t>″</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7000</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小型</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较差</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30</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olor w:val="000000"/>
                <w:szCs w:val="21"/>
              </w:rPr>
              <w:t>一般级</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专业监测</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长期监测</w:t>
            </w:r>
          </w:p>
        </w:tc>
      </w:tr>
      <w:tr>
        <w:tblPrEx>
          <w:tblCellMar>
            <w:top w:w="0" w:type="dxa"/>
            <w:left w:w="0" w:type="dxa"/>
            <w:bottom w:w="0" w:type="dxa"/>
            <w:right w:w="0" w:type="dxa"/>
          </w:tblCellMar>
        </w:tblPrEx>
        <w:trPr>
          <w:trHeight w:val="34"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13</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WY013</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王宅镇梁上线</w:t>
            </w:r>
            <w:r>
              <w:rPr>
                <w:rFonts w:ascii="Times New Roman" w:hAnsi="Times New Roman" w:eastAsia="仿宋_GB2312" w:cs="Times New Roman"/>
                <w:color w:val="000000"/>
                <w:szCs w:val="21"/>
              </w:rPr>
              <w:t>K3 300~600</w:t>
            </w:r>
            <w:r>
              <w:rPr>
                <w:rFonts w:hint="eastAsia" w:ascii="Times New Roman" w:hAnsi="Times New Roman" w:eastAsia="仿宋_GB2312"/>
                <w:color w:val="000000"/>
                <w:szCs w:val="21"/>
              </w:rPr>
              <w:t>（断链</w:t>
            </w:r>
            <w:r>
              <w:rPr>
                <w:rFonts w:ascii="Times New Roman" w:hAnsi="Times New Roman" w:eastAsia="仿宋_GB2312" w:cs="Times New Roman"/>
                <w:color w:val="000000"/>
                <w:szCs w:val="21"/>
              </w:rPr>
              <w:t>100m</w:t>
            </w:r>
            <w:r>
              <w:rPr>
                <w:rFonts w:hint="eastAsia" w:ascii="Times New Roman" w:hAnsi="Times New Roman" w:eastAsia="仿宋_GB2312"/>
                <w:color w:val="000000"/>
                <w:szCs w:val="21"/>
              </w:rPr>
              <w:t>）</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崩塌</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119</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43'05.00</w:t>
            </w:r>
            <w:r>
              <w:rPr>
                <w:rFonts w:hint="eastAsia" w:ascii="Times New Roman" w:hAnsi="Times New Roman" w:eastAsia="仿宋_GB2312" w:cs="Times New Roman"/>
                <w:color w:val="000000"/>
                <w:szCs w:val="21"/>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28</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47'17.84</w:t>
            </w:r>
            <w:r>
              <w:rPr>
                <w:rFonts w:hint="eastAsia" w:ascii="Times New Roman" w:hAnsi="Times New Roman" w:eastAsia="仿宋_GB2312" w:cs="Times New Roman"/>
                <w:color w:val="000000"/>
                <w:szCs w:val="21"/>
              </w:rPr>
              <w:t>″</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500</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小型</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较差</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4</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olor w:val="000000"/>
                <w:szCs w:val="21"/>
              </w:rPr>
              <w:t>一般级</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群测群防</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长期监测</w:t>
            </w:r>
          </w:p>
        </w:tc>
      </w:tr>
      <w:tr>
        <w:tblPrEx>
          <w:tblCellMar>
            <w:top w:w="0" w:type="dxa"/>
            <w:left w:w="0" w:type="dxa"/>
            <w:bottom w:w="0" w:type="dxa"/>
            <w:right w:w="0" w:type="dxa"/>
          </w:tblCellMar>
        </w:tblPrEx>
        <w:trPr>
          <w:trHeight w:val="34"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14</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WY014</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桃溪镇锦平村郑山头</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地面塌陷</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119</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34'28.00</w:t>
            </w:r>
            <w:r>
              <w:rPr>
                <w:rFonts w:hint="eastAsia" w:ascii="Times New Roman" w:hAnsi="Times New Roman" w:eastAsia="仿宋_GB2312" w:cs="Times New Roman"/>
                <w:color w:val="000000"/>
                <w:szCs w:val="21"/>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28</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41'09.00</w:t>
            </w:r>
            <w:r>
              <w:rPr>
                <w:rFonts w:hint="eastAsia" w:ascii="Times New Roman" w:hAnsi="Times New Roman" w:eastAsia="仿宋_GB2312" w:cs="Times New Roman"/>
                <w:color w:val="000000"/>
                <w:szCs w:val="21"/>
              </w:rPr>
              <w:t>″</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960</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小型</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较差</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192</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olor w:val="000000"/>
                <w:szCs w:val="21"/>
              </w:rPr>
              <w:t>较大级</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群测群防</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长期监测</w:t>
            </w:r>
          </w:p>
        </w:tc>
      </w:tr>
      <w:tr>
        <w:tblPrEx>
          <w:tblCellMar>
            <w:top w:w="0" w:type="dxa"/>
            <w:left w:w="0" w:type="dxa"/>
            <w:bottom w:w="0" w:type="dxa"/>
            <w:right w:w="0" w:type="dxa"/>
          </w:tblCellMar>
        </w:tblPrEx>
        <w:trPr>
          <w:trHeight w:val="34" w:hRule="atLeast"/>
        </w:trPr>
        <w:tc>
          <w:tcPr>
            <w:tcW w:w="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15</w:t>
            </w: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WY015</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上松线</w:t>
            </w:r>
            <w:r>
              <w:rPr>
                <w:rFonts w:ascii="Times New Roman" w:hAnsi="Times New Roman" w:eastAsia="仿宋_GB2312" w:cs="Times New Roman"/>
                <w:color w:val="000000"/>
                <w:szCs w:val="21"/>
              </w:rPr>
              <w:t>K65+050</w:t>
            </w:r>
            <w:r>
              <w:rPr>
                <w:rFonts w:hint="eastAsia" w:ascii="Times New Roman" w:hAnsi="Times New Roman" w:eastAsia="仿宋_GB2312"/>
                <w:color w:val="000000"/>
                <w:szCs w:val="21"/>
              </w:rPr>
              <w:t>～</w:t>
            </w:r>
            <w:r>
              <w:rPr>
                <w:rFonts w:ascii="Times New Roman" w:hAnsi="Times New Roman" w:eastAsia="仿宋_GB2312" w:cs="Times New Roman"/>
                <w:color w:val="000000"/>
                <w:szCs w:val="21"/>
              </w:rPr>
              <w:t>750</w:t>
            </w: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滑坡</w:t>
            </w:r>
          </w:p>
        </w:tc>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119</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35'01.00</w:t>
            </w:r>
            <w:r>
              <w:rPr>
                <w:rFonts w:hint="eastAsia" w:ascii="Times New Roman" w:hAnsi="Times New Roman" w:eastAsia="仿宋_GB2312" w:cs="Times New Roman"/>
                <w:color w:val="000000"/>
                <w:szCs w:val="21"/>
              </w:rPr>
              <w:t>″</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color w:val="000000"/>
                <w:szCs w:val="21"/>
              </w:rPr>
              <w:t>28</w:t>
            </w:r>
            <w:r>
              <w:rPr>
                <w:rFonts w:hint="eastAsia" w:ascii="Times New Roman" w:hAnsi="Times New Roman" w:eastAsia="仿宋_GB2312" w:cs="Times New Roman"/>
                <w:color w:val="000000"/>
                <w:szCs w:val="21"/>
              </w:rPr>
              <w:t>°</w:t>
            </w:r>
            <w:r>
              <w:rPr>
                <w:rFonts w:ascii="Times New Roman" w:hAnsi="Times New Roman" w:eastAsia="仿宋_GB2312" w:cs="Times New Roman"/>
                <w:color w:val="000000"/>
                <w:szCs w:val="21"/>
              </w:rPr>
              <w:t>34'58.00</w:t>
            </w:r>
            <w:r>
              <w:rPr>
                <w:rFonts w:hint="eastAsia" w:ascii="Times New Roman" w:hAnsi="Times New Roman" w:eastAsia="仿宋_GB2312" w:cs="Times New Roman"/>
                <w:color w:val="000000"/>
                <w:szCs w:val="21"/>
              </w:rPr>
              <w:t>″</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6000000</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大型</w:t>
            </w: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差</w:t>
            </w: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color w:val="000000"/>
                <w:szCs w:val="21"/>
              </w:rPr>
              <w:t>200</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olor w:val="000000"/>
                <w:szCs w:val="21"/>
              </w:rPr>
              <w:t>较大级</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szCs w:val="21"/>
              </w:rPr>
            </w:pPr>
            <w:r>
              <w:rPr>
                <w:rFonts w:hint="eastAsia" w:ascii="Times New Roman" w:hAnsi="Times New Roman" w:eastAsia="仿宋_GB2312"/>
                <w:color w:val="000000"/>
                <w:szCs w:val="21"/>
              </w:rPr>
              <w:t>专业监测</w:t>
            </w: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olor w:val="000000"/>
                <w:szCs w:val="21"/>
              </w:rPr>
              <w:t>长期监测</w:t>
            </w:r>
          </w:p>
        </w:tc>
      </w:tr>
      <w:tr>
        <w:tblPrEx>
          <w:tblCellMar>
            <w:top w:w="0" w:type="dxa"/>
            <w:left w:w="0" w:type="dxa"/>
            <w:bottom w:w="0" w:type="dxa"/>
            <w:right w:w="0" w:type="dxa"/>
          </w:tblCellMar>
        </w:tblPrEx>
        <w:trPr>
          <w:trHeight w:val="524" w:hRule="atLeast"/>
        </w:trPr>
        <w:tc>
          <w:tcPr>
            <w:tcW w:w="683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szCs w:val="21"/>
              </w:rPr>
            </w:pPr>
            <w:r>
              <w:rPr>
                <w:rFonts w:hint="eastAsia" w:ascii="Times New Roman" w:hAnsi="Times New Roman" w:eastAsia="仿宋_GB2312" w:cs="Times New Roman"/>
                <w:b/>
                <w:bCs/>
                <w:szCs w:val="21"/>
              </w:rPr>
              <w:t>合</w:t>
            </w:r>
            <w:r>
              <w:rPr>
                <w:rFonts w:ascii="Times New Roman" w:hAnsi="Times New Roman" w:eastAsia="仿宋_GB2312" w:cs="Times New Roman"/>
                <w:b/>
                <w:bCs/>
                <w:szCs w:val="21"/>
              </w:rPr>
              <w:t xml:space="preserve">        </w:t>
            </w:r>
            <w:r>
              <w:rPr>
                <w:rFonts w:hint="eastAsia" w:ascii="Times New Roman" w:hAnsi="Times New Roman" w:eastAsia="仿宋_GB2312" w:cs="Times New Roman"/>
                <w:b/>
                <w:bCs/>
                <w:szCs w:val="21"/>
              </w:rPr>
              <w:t>计</w:t>
            </w:r>
          </w:p>
        </w:tc>
        <w:tc>
          <w:tcPr>
            <w:tcW w:w="6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szCs w:val="21"/>
              </w:rPr>
            </w:pP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szCs w:val="21"/>
              </w:rPr>
            </w:pPr>
          </w:p>
        </w:tc>
        <w:tc>
          <w:tcPr>
            <w:tcW w:w="6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szCs w:val="21"/>
              </w:rPr>
            </w:pP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szCs w:val="21"/>
              </w:rPr>
            </w:pPr>
            <w:r>
              <w:rPr>
                <w:rFonts w:ascii="Times New Roman" w:hAnsi="Times New Roman" w:eastAsia="仿宋_GB2312" w:cs="Times New Roman"/>
                <w:b/>
                <w:bCs/>
                <w:szCs w:val="21"/>
              </w:rPr>
              <w:t>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szCs w:val="21"/>
              </w:rPr>
            </w:pPr>
            <w:r>
              <w:rPr>
                <w:rFonts w:ascii="Times New Roman" w:hAnsi="Times New Roman" w:eastAsia="仿宋_GB2312" w:cs="Times New Roman"/>
                <w:b/>
                <w:bCs/>
                <w:szCs w:val="21"/>
              </w:rPr>
              <w:t>0</w:t>
            </w:r>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szCs w:val="21"/>
              </w:rPr>
            </w:pPr>
            <w:r>
              <w:rPr>
                <w:rFonts w:ascii="Times New Roman" w:hAnsi="Times New Roman" w:eastAsia="仿宋_GB2312" w:cs="Times New Roman"/>
                <w:b/>
                <w:bCs/>
                <w:szCs w:val="21"/>
              </w:rPr>
              <w:t>1310</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szCs w:val="21"/>
              </w:rPr>
            </w:pP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p>
        </w:tc>
        <w:tc>
          <w:tcPr>
            <w:tcW w:w="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r>
    </w:tbl>
    <w:p>
      <w:pPr>
        <w:widowControl/>
        <w:jc w:val="center"/>
        <w:rPr>
          <w:rFonts w:ascii="Times New Roman" w:hAnsi="Times New Roman" w:eastAsia="仿宋_GB2312" w:cs="仿宋_GB2312"/>
          <w:b/>
          <w:bCs/>
          <w:color w:val="000000"/>
          <w:sz w:val="28"/>
          <w:szCs w:val="28"/>
        </w:rPr>
      </w:pPr>
      <w:bookmarkStart w:id="52" w:name="RANGE!A1:H41"/>
    </w:p>
    <w:p>
      <w:pPr>
        <w:widowControl/>
        <w:jc w:val="center"/>
        <w:rPr>
          <w:rFonts w:ascii="Times New Roman" w:hAnsi="Times New Roman" w:eastAsia="仿宋_GB2312" w:cs="仿宋_GB2312"/>
          <w:b/>
          <w:bCs/>
          <w:color w:val="000000"/>
          <w:sz w:val="28"/>
          <w:szCs w:val="28"/>
        </w:rPr>
      </w:pPr>
    </w:p>
    <w:p>
      <w:pPr>
        <w:widowControl/>
        <w:jc w:val="center"/>
        <w:rPr>
          <w:rFonts w:ascii="Times New Roman" w:hAnsi="Times New Roman" w:eastAsia="仿宋_GB2312" w:cs="仿宋_GB2312"/>
          <w:b/>
          <w:bCs/>
          <w:color w:val="000000"/>
          <w:sz w:val="28"/>
          <w:szCs w:val="28"/>
        </w:rPr>
      </w:pPr>
    </w:p>
    <w:p>
      <w:pPr>
        <w:widowControl/>
        <w:jc w:val="center"/>
        <w:rPr>
          <w:rFonts w:ascii="Times New Roman" w:hAnsi="Times New Roman" w:eastAsia="仿宋_GB2312" w:cs="仿宋_GB2312"/>
          <w:b/>
          <w:bCs/>
          <w:color w:val="000000"/>
          <w:sz w:val="28"/>
          <w:szCs w:val="28"/>
        </w:rPr>
      </w:pPr>
    </w:p>
    <w:p>
      <w:pPr>
        <w:widowControl/>
        <w:jc w:val="center"/>
        <w:rPr>
          <w:rFonts w:ascii="Times New Roman" w:hAnsi="Times New Roman" w:eastAsia="仿宋_GB2312" w:cs="仿宋_GB2312"/>
          <w:b/>
          <w:bCs/>
          <w:color w:val="000000"/>
          <w:sz w:val="28"/>
          <w:szCs w:val="28"/>
        </w:rPr>
      </w:pPr>
    </w:p>
    <w:p>
      <w:pPr>
        <w:widowControl/>
        <w:jc w:val="center"/>
        <w:rPr>
          <w:rFonts w:ascii="Times New Roman" w:hAnsi="Times New Roman" w:eastAsia="黑体" w:cs="仿宋_GB2312"/>
          <w:b/>
          <w:bCs/>
          <w:kern w:val="0"/>
          <w:sz w:val="24"/>
          <w:szCs w:val="24"/>
        </w:rPr>
      </w:pPr>
      <w:r>
        <w:rPr>
          <w:rFonts w:hint="eastAsia" w:ascii="Times New Roman" w:hAnsi="Times New Roman" w:eastAsia="黑体" w:cs="仿宋_GB2312"/>
          <w:b/>
          <w:bCs/>
          <w:color w:val="000000"/>
          <w:sz w:val="24"/>
          <w:szCs w:val="24"/>
        </w:rPr>
        <w:t>附表</w:t>
      </w:r>
      <w:r>
        <w:rPr>
          <w:rFonts w:ascii="Times New Roman" w:hAnsi="Times New Roman" w:eastAsia="黑体" w:cs="仿宋_GB2312"/>
          <w:b/>
          <w:bCs/>
          <w:color w:val="000000"/>
          <w:sz w:val="24"/>
          <w:szCs w:val="24"/>
        </w:rPr>
        <w:t xml:space="preserve">2  </w:t>
      </w:r>
      <w:bookmarkEnd w:id="52"/>
      <w:r>
        <w:rPr>
          <w:rFonts w:hint="eastAsia" w:ascii="Times New Roman" w:hAnsi="Times New Roman" w:eastAsia="黑体" w:cs="仿宋_GB2312"/>
          <w:b/>
          <w:bCs/>
          <w:color w:val="000000"/>
          <w:sz w:val="24"/>
          <w:szCs w:val="24"/>
        </w:rPr>
        <w:t>武义县地质灾害风险防范区一览表</w:t>
      </w:r>
    </w:p>
    <w:tbl>
      <w:tblPr>
        <w:tblStyle w:val="16"/>
        <w:tblW w:w="13948" w:type="dxa"/>
        <w:tblInd w:w="0" w:type="dxa"/>
        <w:tblLayout w:type="fixed"/>
        <w:tblCellMar>
          <w:top w:w="0" w:type="dxa"/>
          <w:left w:w="108" w:type="dxa"/>
          <w:bottom w:w="0" w:type="dxa"/>
          <w:right w:w="108" w:type="dxa"/>
        </w:tblCellMar>
      </w:tblPr>
      <w:tblGrid>
        <w:gridCol w:w="531"/>
        <w:gridCol w:w="846"/>
        <w:gridCol w:w="885"/>
        <w:gridCol w:w="1266"/>
        <w:gridCol w:w="5886"/>
        <w:gridCol w:w="1476"/>
        <w:gridCol w:w="849"/>
        <w:gridCol w:w="983"/>
        <w:gridCol w:w="1226"/>
      </w:tblGrid>
      <w:tr>
        <w:tblPrEx>
          <w:tblCellMar>
            <w:top w:w="0" w:type="dxa"/>
            <w:left w:w="108" w:type="dxa"/>
            <w:bottom w:w="0" w:type="dxa"/>
            <w:right w:w="108" w:type="dxa"/>
          </w:tblCellMar>
        </w:tblPrEx>
        <w:trPr>
          <w:trHeight w:val="229" w:hRule="atLeast"/>
          <w:tblHeader/>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color w:val="000000"/>
                <w:szCs w:val="21"/>
              </w:rPr>
              <w:t>序号</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color w:val="000000"/>
                <w:szCs w:val="21"/>
              </w:rPr>
              <w:t>编号</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color w:val="000000"/>
                <w:szCs w:val="21"/>
              </w:rPr>
              <w:t>县（市、区）</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color w:val="000000"/>
                <w:szCs w:val="21"/>
              </w:rPr>
              <w:t>位置</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color w:val="000000"/>
                <w:szCs w:val="21"/>
              </w:rPr>
              <w:t>名称</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color w:val="000000"/>
                <w:szCs w:val="21"/>
              </w:rPr>
              <w:t>风险等级</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color w:val="000000"/>
                <w:szCs w:val="21"/>
              </w:rPr>
              <w:t>影响户数（户）</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color w:val="000000"/>
                <w:szCs w:val="21"/>
              </w:rPr>
              <w:t>影响人数（人）</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color w:val="000000"/>
                <w:szCs w:val="21"/>
              </w:rPr>
              <w:t>影响财产（万元）</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WF001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陈弄村钟根土等屋后滑坡隐患风险防范区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WF002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白洋街道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深塘村后俸地面塌陷隐患风险防范区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WF003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白洋街道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深塘村下垄地面塌陷隐患风险防范区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WF004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余西村余山头地面塌陷隐患风险防范区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WF005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温泉度假区</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溪里村北头地面塌陷隐患风险防范区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WF006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白姆乡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朱宅村滑坡隐患风险防范区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WF007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白姆乡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大红岩景区雄鸡坛崩塌隐患风险防范区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WF008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王宅镇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梁上线</w:t>
            </w:r>
            <w:r>
              <w:rPr>
                <w:rFonts w:ascii="Times New Roman" w:hAnsi="Times New Roman" w:eastAsia="仿宋_GB2312" w:cs="Arial"/>
                <w:szCs w:val="21"/>
              </w:rPr>
              <w:t>K3+300-600</w:t>
            </w:r>
            <w:r>
              <w:rPr>
                <w:rFonts w:hint="eastAsia" w:ascii="Times New Roman" w:hAnsi="Times New Roman" w:eastAsia="仿宋_GB2312" w:cs="Arial"/>
                <w:szCs w:val="21"/>
              </w:rPr>
              <w:t>崩塌隐患风险防范区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WF009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锦平村郑山头地面塌陷隐患风险防范区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192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WF010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大溪口乡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溪口村滑坡隐患风险防范区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WF011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上松线</w:t>
            </w:r>
            <w:r>
              <w:rPr>
                <w:rFonts w:ascii="Times New Roman" w:hAnsi="Times New Roman" w:eastAsia="仿宋_GB2312" w:cs="Arial"/>
                <w:szCs w:val="21"/>
              </w:rPr>
              <w:t>K65+050</w:t>
            </w:r>
            <w:r>
              <w:rPr>
                <w:rFonts w:hint="eastAsia" w:ascii="Times New Roman" w:hAnsi="Times New Roman" w:eastAsia="仿宋_GB2312" w:cs="Arial"/>
                <w:szCs w:val="21"/>
              </w:rPr>
              <w:t>～</w:t>
            </w:r>
            <w:r>
              <w:rPr>
                <w:rFonts w:ascii="Times New Roman" w:hAnsi="Times New Roman" w:eastAsia="仿宋_GB2312" w:cs="Arial"/>
                <w:szCs w:val="21"/>
              </w:rPr>
              <w:t>750</w:t>
            </w:r>
            <w:r>
              <w:rPr>
                <w:rFonts w:hint="eastAsia" w:ascii="Times New Roman" w:hAnsi="Times New Roman" w:eastAsia="仿宋_GB2312" w:cs="Arial"/>
                <w:szCs w:val="21"/>
              </w:rPr>
              <w:t>滑坡隐患风险防范区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WF012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桐琴镇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后金村桐琴果园地面塌陷隐患风险防范区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WF013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大田乡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徐村地面塌陷隐患风险防范区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WF014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壶山街道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荷叶塘村地面塌陷隐患风险防范区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16</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WF015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白洋街道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后周垄地面塌陷隐患风险防范区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350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WF016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履坦镇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徐主村地面塌陷隐患风险防范区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WF017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坦洪乡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洪村吴峰华屋后风险点风险防范区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WF018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白洋街道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南阳村寺后张自然村风险点风险防范区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WF019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经济开发区</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浙江太平工贸有限公司南西不稳定斜坡风险防范区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WF020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茭道镇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沈家村沈春娇民宅后不稳定斜坡风险防范区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WF021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壶山街道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金星社区宜家宾馆北西侧不稳定斜坡风险防范区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WF022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壶山街道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万安岭脚北东侧不稳定斜坡风险防范区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WF023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壶山街道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万安岭脚西侧不稳定斜坡风险防范区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WF024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壶山街道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天师庙村西侧不稳定斜坡风险防范区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WF025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壶山街道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两头门北村口东侧不稳定斜坡风险防范区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WF026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壶山街道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两头门王子荣屋后不稳定斜坡风险防范区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34</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WF027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白洋街道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下陈村风险点风险防范区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WF028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白洋街道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汤村毛村弄北侧不稳定斜坡风险防范区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WF029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佐溪村王竹园不稳定斜坡风险防范区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30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WF030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桐琴镇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仙溪村不稳定斜坡风险防范区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31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WF031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泉溪镇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王元村华丽电器公司不稳定斜坡风险防范区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32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WF032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泉溪镇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仓部圳朱国岳屋后不稳定斜坡风险防范区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33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WF033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白姆乡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黄斜村王洪其屋后不稳定斜坡风险防范区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34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WF034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白姆乡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黄泥坑村沙坑口不稳定斜坡风险防范区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35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WF035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俞源乡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岩坑新村西侧不稳定斜坡风险防范区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19</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140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36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WF036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俞源乡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凡岭脚祝小云屋后不稳定斜坡风险防范区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37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WF037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俞源乡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俞源村俞孝礼屋后不稳定斜坡风险防范区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38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WF038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坦洪乡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上陶村阮舍堂屋后不稳定斜坡风险防范区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120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39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WF039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坦洪乡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上陶章坑村蓝招德民房东侧不稳定斜坡风险防范区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40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WF040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坦洪乡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黄干山村三百村雷天明屋后不稳定斜坡风险防范区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41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WF041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坦洪乡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上周村鲍仕俊屋后不稳定斜坡风险防范区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42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WF042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江下村张洪源屋后不稳定斜坡风险防范区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43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WF043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西舒村周立仁屋后不稳定斜坡风险防范区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44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WF044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半塘村宋明进屋后不稳定斜坡风险防范区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45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WF045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茶坑村陶振浩等屋后不稳定斜坡风险防范区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46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WF046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铁铺村邱海央等屋后不稳定斜坡风险防范区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7</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47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WF047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陈弄村村李禄章屋后不稳定斜坡风险防范区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48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WF048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陈弄村李丽琴屋后不稳定斜坡风险防范区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49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WF049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上江村王卓华等屋后不稳定斜坡风险防区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50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WF050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西塘村王仙明等屋后不稳定斜坡风险防范区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51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WF051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大溪口乡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竹翠村刘大金等屋后不稳定斜坡风险防范区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52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WF052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大溪口乡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溪口村潘章林等屋后不稳定斜坡风险防范区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12</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93</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53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WF053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大溪口乡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溪口村金山前梁县平等屋后不稳定斜坡风险防范区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21</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54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WF054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三港乡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周源村曹金良等屋后不稳定斜坡风险防范区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55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WF055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白洋街道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华上金属材料公司南东侧风险点风险防范区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56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WF056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白洋街道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上陈村招明寺北东侧风险点风险防范区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57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WF057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大田乡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下叶山村风险点风险防范区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58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WF058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壶山街道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汤岭脚村南东侧风险点风险防范区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250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59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WF059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下苏埠村风险点风险防范区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24</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60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WF060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坦洪乡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上周村陈太顺屋后风险点风险防范区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61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WF061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道芝村邱昌四屋后风险点风险防范区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62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WF062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白洋街道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和尚寮村通村公路风险点风险防范区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63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WF063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王宅镇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寿仙村石井里自然村方荣权户屋后风险点风险防范区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64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WF064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白姆乡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水阁茶叶专业合作社北侧风险点风险防范区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240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65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WF065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大田乡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古竹村下寺山北侧风险点风险防范区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66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WF066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壶山街道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王欣荣户屋后风险点风险防范区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67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WF067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大田乡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岭下汤村泉岩水库右岸道路风险点风险防范区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68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WF068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丁鸟北侧（宗祠）风险点风险防范区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69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WF069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新塘村村头风险点风险防范区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70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WF070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坦洪乡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上坦村竹叶山风险点风险防范区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47</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71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WF071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坦洪乡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南源村风险点风险防范区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72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WF072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坦洪乡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白岩村风险点风险防范区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39</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160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73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WF073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坦洪乡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塘齐村东侧山体风险点风险防范区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74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WF074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坦洪乡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金隆村风险点风险防范区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75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WF075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坦洪乡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陈村风险点风险防范区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76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WF076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俞源乡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俞源村北侧风险点风险防范区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21</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77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WF077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俞源乡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大黄岭头村风险点风险防范区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78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WF078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壶山街道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车里村岭脚风险点风险防范区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79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WF079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俞源乡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岩坑村风险点风险防范区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80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WF080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俞源乡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力丰村塘里自然村风险点风险防范区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81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WF081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坦洪乡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陈村东侧风险点风险防范区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82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WF082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坦洪乡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上坦村风险点风险防范区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83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WF083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坦洪乡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上陶村风险点风险防范区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84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WF084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祝村风险点风险防范区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85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WF085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大山脚村风险点风险防范区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24</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86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WF086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和阳坑村桑坑口自然村风险点风险防范区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87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WF087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麻竹园村八百后坎风险点风险防范区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7</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88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WF088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大莱村炳坑风险点风险防范区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89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WF089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内三坑村西侧山体风险点风险防范区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39</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90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WF090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三坑口村北侧山体风险点风险防范区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91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WF091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安凤村南侧山体风险点风险防范区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39</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92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WF092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矿洪村风险点风险防范区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93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WF093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大莱村风险点风险防范区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94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WF094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溪下村风险点风险防范区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24</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95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WF095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安村风险点风险防范区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7</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16</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33</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96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WF096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白洋街道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王村风险点风险防范区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97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WF097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大田乡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派塘村风险点风险防范区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73</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98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WF098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大田乡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瓦窖头村弄口风险点风险防范区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99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WF099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泉溪镇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丰溪村里念坑风险点风险防范区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22</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240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100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WF100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泉溪镇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黄坛村北东侧风险点风险防范区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15</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37</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101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WF101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泉溪镇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车苏村风险点风险防范区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7</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102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WF102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桐琴镇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上芦村风险点风险防范区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103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WF103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西联乡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马口村直坑泥石流隐患风险防范区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84</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104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WF104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西联乡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马口村下铺风险点风险防范区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11</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105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WF105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西联乡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汤山村风险点风险防范区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106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WF106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西联乡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河涧村雪坑自然村风险点风险防范区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107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WF107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半塘村坡面流隐患风险防范区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7</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108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WF108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金山尖村北侧风险点风险防范区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75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109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WF109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青枫谷山庄北西侧山体崩塌隐患风险防范区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110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WF110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黄家滩村麻济源自然村风险点风险防范区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111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WF111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橄榄源村石庙坑东侧风险点风险防范区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19</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112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WF112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小黄山畲族风情村崩塌隐患风险防范区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113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WF113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石门洲村龙门洞风险点风险防范区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114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WF114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乌坛村东侧山体风险点风险防范区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115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WF115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白姆乡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白坛下山脚村风险点风险防范区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116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WF116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白姆乡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西田村杉树塘东侧风险点风险防范区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24</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117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WF117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白姆乡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桑叶坞泥石流隐患风险防范区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25</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73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118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WF118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履坦镇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长叶埠村前村南侧风险点风险防范区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119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WF119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履坦镇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后塘村里前自然村风险点风险防范区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11</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24</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120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WF120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履坦镇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蒋村东侧斜坡风险点风险防范区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121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WF121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洪桥头村北侧风险点风险防范区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122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WF122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抱弄口村抱弄坑风险点风险防范区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11</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308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123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WF123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郭上村上宅南侧风险点风险防范区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120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124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WF124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柳城镇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华塘村风险点风险防范区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24</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125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WF125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白姆乡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谢坑村西店下风险点风险防范区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126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WF126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白姆乡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八百村小同村风险点风险防范区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127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WF127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大溪口乡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溪口村把背山风险点风险防范区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48</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109</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312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128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WF128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大溪口乡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溪岭脚村清水坑风险点风险防范区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16</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129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WF129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大溪口乡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内圩村水孔弄风险点风险防范区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39</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130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WF130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大溪口乡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黄山村风险点风险防范区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131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WF131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大溪口乡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岭脚村枫树园自然村风险点风险防范区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21</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132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WF132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大溪口乡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水头村风险点风险防范区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41</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133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WF133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大溪口乡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水头村陶舒风险点风险防范区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134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WF134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茭道镇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沈家村方坑风险点风险防范区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135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WF135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茭道镇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沈家村星星泡沫公司南东侧坡面泥石流隐患风险点风险防范区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136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WF136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茭道镇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麻车岗村风险点风险防范区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137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WF137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茭道镇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麻栗畈村邹里坞自然村风险点风险防范区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138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WF138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经济开发区</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奥格尔公寓北侧风险点风险防范区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139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WF139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经济开发区</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浙江涵海建材有限公司南侧风险点风险防范区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140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WF140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经济开发区</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方誉工贸有限公司东侧风险点风险防范区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141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WF141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经济开发区</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锁嘉工贸有限公司东侧风险点风险防范区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142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WF142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经济开发区</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浙江上德工贸有限公司南西侧风险点风险防范区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143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WF143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经济开发区</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浙江斯诺厨具有限公司西侧风险点风险防范区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144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WF144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三港乡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章湾村隔溪北东侧山体风险点风险防范区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17</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600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145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WF145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三港乡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周源村风险点风险防范区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146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WF146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塘塍头村风险点风险防范区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147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WF147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金村风险点风险防范区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148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WF148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双坑口村风险点风险防范区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149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WF149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吴杨村风险点风险防范区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150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WF150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塘里畈村风险点风险防范区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16</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99</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151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WF151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塘里村风险点风险防范区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152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WF152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双坑村风险点风险防范区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153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WF153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施坞村风险点风险防范区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7</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154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WF154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上甘塔村风险点风险防范区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155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WF155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冷水坑村上铺北侧斜坡风险点风险防范区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84</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156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WF156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锦后村乌石后西南侧山体风险点风险防范区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157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WF157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锦坪村松溪东侧山体风险点风险防范区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158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WF158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锦源村齐腰风险点风险防范区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159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WF159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黄新村南西侧风险点风险防范区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168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160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WF160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种子源村坊塘风险点风险防范区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7</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17</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161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WF161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里九畈村坛头舒南侧风险点风险防范区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162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WF162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东垄村后阳东侧山体风险点风险防范区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173</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163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WF163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上陈村内陈风险点风险防范区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164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WF164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大河源村河头东侧风险点风险防范区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165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WF165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双溪村杉树地风险点风险防范区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13</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27</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166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WF166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锦源村三百下风险点风险防范区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9</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167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WF167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西山下村风险点风险防范区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168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WF168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外源村风险点风险防范区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169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WF169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大路山村陶七弄自然村风险点风险防范区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170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WF170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东垄村风险点风险防范区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171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WF171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种子源风险点风险防范区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7</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130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172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WF172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锦源村杨子里自然村风险点风险防范区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173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WF173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泉丰村风险点风险防范区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39</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174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WF174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桃溪镇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项湾村风险点风险防范区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175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WF175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王宅镇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大路红村桐水芋自然村风险点风险防范区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176</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WF176</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王宅镇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吴山下村岭脚自然村风险点风险防范区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177</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WF177</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王宅镇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大路红村芋坑自然村风险点风险防范区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178</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WF178</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茭道镇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杨家地面塌陷隐患风险防范区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179</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WF179</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西联乡</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景阳村周炳武至苏祝武屋后风险点风险防范区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0</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12</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180</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WF180</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熟溪街道</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水碓后村风险点风险防范区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8</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175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181</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WF181</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泉溪镇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黄坛村李留芬屋后风险点风险防范区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182</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WF182</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新宅村吴建跃屋后崩塌隐患风险防范区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5</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183</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WF183</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泉溪镇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白革村朱昌松屋后滑坡隐患风险防范区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45</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184</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WF184</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新宅镇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金岩村邓国浩屋后风险点风险防范区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一般防范区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2</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6</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30</w:t>
            </w:r>
          </w:p>
        </w:tc>
      </w:tr>
      <w:tr>
        <w:tblPrEx>
          <w:tblCellMar>
            <w:top w:w="0" w:type="dxa"/>
            <w:left w:w="108" w:type="dxa"/>
            <w:bottom w:w="0" w:type="dxa"/>
            <w:right w:w="108" w:type="dxa"/>
          </w:tblCellMar>
        </w:tblPrEx>
        <w:trPr>
          <w:trHeight w:val="285"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185</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WF185</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Times New Roman"/>
                <w:color w:val="000000"/>
                <w:szCs w:val="21"/>
              </w:rPr>
              <w:t>武义县</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桐琴镇</w:t>
            </w:r>
          </w:p>
        </w:tc>
        <w:tc>
          <w:tcPr>
            <w:tcW w:w="58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仙溪村朱耀康屋后崩塌隐患风险防范区</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hint="eastAsia" w:ascii="Times New Roman" w:hAnsi="Times New Roman" w:eastAsia="仿宋_GB2312" w:cs="Arial"/>
                <w:szCs w:val="21"/>
              </w:rPr>
              <w:t>次重点防范区</w:t>
            </w: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12</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30</w:t>
            </w:r>
          </w:p>
        </w:tc>
      </w:tr>
      <w:tr>
        <w:tblPrEx>
          <w:tblCellMar>
            <w:top w:w="0" w:type="dxa"/>
            <w:left w:w="108" w:type="dxa"/>
            <w:bottom w:w="0" w:type="dxa"/>
            <w:right w:w="108" w:type="dxa"/>
          </w:tblCellMar>
        </w:tblPrEx>
        <w:trPr>
          <w:trHeight w:val="285" w:hRule="atLeast"/>
        </w:trPr>
        <w:tc>
          <w:tcPr>
            <w:tcW w:w="941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color w:val="000000"/>
                <w:szCs w:val="21"/>
              </w:rPr>
            </w:pPr>
            <w:r>
              <w:rPr>
                <w:rFonts w:hint="eastAsia" w:ascii="Times New Roman" w:hAnsi="Times New Roman" w:eastAsia="仿宋_GB2312" w:cs="Times New Roman"/>
                <w:b/>
                <w:bCs/>
                <w:color w:val="000000"/>
                <w:szCs w:val="21"/>
              </w:rPr>
              <w:t>合</w:t>
            </w:r>
            <w:r>
              <w:rPr>
                <w:rFonts w:ascii="Times New Roman" w:hAnsi="Times New Roman" w:eastAsia="仿宋_GB2312" w:cs="Times New Roman"/>
                <w:b/>
                <w:bCs/>
                <w:color w:val="000000"/>
                <w:szCs w:val="21"/>
              </w:rPr>
              <w:t xml:space="preserve">       </w:t>
            </w:r>
            <w:r>
              <w:rPr>
                <w:rFonts w:hint="eastAsia" w:ascii="Times New Roman" w:hAnsi="Times New Roman" w:eastAsia="仿宋_GB2312" w:cs="Times New Roman"/>
                <w:b/>
                <w:bCs/>
                <w:color w:val="000000"/>
                <w:szCs w:val="21"/>
              </w:rPr>
              <w:t>计</w:t>
            </w:r>
          </w:p>
        </w:tc>
        <w:tc>
          <w:tcPr>
            <w:tcW w:w="14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color w:val="000000"/>
                <w:szCs w:val="21"/>
              </w:rPr>
            </w:pPr>
          </w:p>
        </w:tc>
        <w:tc>
          <w:tcPr>
            <w:tcW w:w="8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color w:val="000000"/>
                <w:szCs w:val="21"/>
              </w:rPr>
            </w:pPr>
            <w:r>
              <w:rPr>
                <w:rFonts w:ascii="Times New Roman" w:hAnsi="Times New Roman" w:eastAsia="仿宋_GB2312" w:cs="Arial"/>
                <w:szCs w:val="21"/>
              </w:rPr>
              <w:t>498</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bCs/>
                <w:color w:val="000000"/>
                <w:szCs w:val="21"/>
              </w:rPr>
            </w:pPr>
            <w:r>
              <w:rPr>
                <w:rFonts w:ascii="Times New Roman" w:hAnsi="Times New Roman" w:eastAsia="仿宋_GB2312" w:cs="Arial"/>
                <w:szCs w:val="21"/>
              </w:rPr>
              <w:t>1344</w:t>
            </w:r>
          </w:p>
        </w:tc>
        <w:tc>
          <w:tcPr>
            <w:tcW w:w="12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color w:val="000000"/>
                <w:szCs w:val="21"/>
              </w:rPr>
            </w:pPr>
            <w:r>
              <w:rPr>
                <w:rFonts w:ascii="Times New Roman" w:hAnsi="Times New Roman" w:eastAsia="仿宋_GB2312" w:cs="Arial"/>
                <w:szCs w:val="21"/>
              </w:rPr>
              <w:t>14116</w:t>
            </w:r>
          </w:p>
        </w:tc>
      </w:tr>
    </w:tbl>
    <w:p>
      <w:pPr>
        <w:spacing w:line="560" w:lineRule="exact"/>
        <w:ind w:firstLine="843" w:firstLineChars="300"/>
        <w:jc w:val="center"/>
        <w:rPr>
          <w:rFonts w:ascii="Times New Roman" w:hAnsi="Times New Roman" w:eastAsia="仿宋_GB2312" w:cs="仿宋_GB2312"/>
          <w:b/>
          <w:bCs/>
          <w:kern w:val="0"/>
          <w:sz w:val="28"/>
          <w:szCs w:val="28"/>
        </w:rPr>
      </w:pPr>
    </w:p>
    <w:p>
      <w:pPr>
        <w:widowControl/>
        <w:jc w:val="left"/>
        <w:rPr>
          <w:rFonts w:ascii="Times New Roman" w:hAnsi="Times New Roman" w:eastAsia="仿宋_GB2312" w:cs="仿宋_GB2312"/>
          <w:b/>
          <w:bCs/>
          <w:kern w:val="0"/>
          <w:sz w:val="28"/>
          <w:szCs w:val="28"/>
        </w:rPr>
      </w:pPr>
      <w:r>
        <w:rPr>
          <w:rFonts w:ascii="Times New Roman" w:hAnsi="Times New Roman" w:eastAsia="仿宋_GB2312" w:cs="仿宋_GB2312"/>
          <w:b/>
          <w:bCs/>
          <w:kern w:val="0"/>
          <w:sz w:val="28"/>
          <w:szCs w:val="28"/>
        </w:rPr>
        <w:br w:type="page"/>
      </w:r>
    </w:p>
    <w:p>
      <w:pPr>
        <w:spacing w:line="560" w:lineRule="exact"/>
        <w:ind w:firstLine="723" w:firstLineChars="300"/>
        <w:jc w:val="center"/>
        <w:rPr>
          <w:rFonts w:ascii="Times New Roman" w:hAnsi="Times New Roman" w:eastAsia="黑体" w:cs="仿宋_GB2312"/>
          <w:b/>
          <w:bCs/>
          <w:kern w:val="0"/>
          <w:sz w:val="24"/>
          <w:szCs w:val="24"/>
        </w:rPr>
      </w:pPr>
      <w:r>
        <w:rPr>
          <w:rFonts w:hint="eastAsia" w:ascii="Times New Roman" w:hAnsi="Times New Roman" w:eastAsia="黑体" w:cs="仿宋_GB2312"/>
          <w:b/>
          <w:bCs/>
          <w:kern w:val="0"/>
          <w:sz w:val="24"/>
          <w:szCs w:val="24"/>
        </w:rPr>
        <w:t>附表</w:t>
      </w:r>
      <w:r>
        <w:rPr>
          <w:rFonts w:ascii="Times New Roman" w:hAnsi="Times New Roman" w:eastAsia="黑体" w:cs="仿宋_GB2312"/>
          <w:b/>
          <w:bCs/>
          <w:kern w:val="0"/>
          <w:sz w:val="24"/>
          <w:szCs w:val="24"/>
        </w:rPr>
        <w:t xml:space="preserve">3  </w:t>
      </w:r>
      <w:r>
        <w:rPr>
          <w:rFonts w:hint="eastAsia" w:ascii="Times New Roman" w:hAnsi="Times New Roman" w:eastAsia="黑体" w:cs="仿宋_GB2312"/>
          <w:b/>
          <w:bCs/>
          <w:kern w:val="0"/>
          <w:sz w:val="24"/>
          <w:szCs w:val="24"/>
        </w:rPr>
        <w:t>武义县地质灾害易发程度分区说明表</w:t>
      </w:r>
    </w:p>
    <w:tbl>
      <w:tblPr>
        <w:tblStyle w:val="16"/>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
        <w:gridCol w:w="479"/>
        <w:gridCol w:w="1625"/>
        <w:gridCol w:w="688"/>
        <w:gridCol w:w="943"/>
        <w:gridCol w:w="992"/>
        <w:gridCol w:w="993"/>
        <w:gridCol w:w="992"/>
        <w:gridCol w:w="992"/>
        <w:gridCol w:w="1276"/>
        <w:gridCol w:w="141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0" w:type="dxa"/>
            <w:gridSpan w:val="2"/>
            <w:vMerge w:val="restart"/>
            <w:shd w:val="clear" w:color="auto" w:fill="auto"/>
            <w:vAlign w:val="center"/>
          </w:tcPr>
          <w:p>
            <w:pPr>
              <w:widowControl/>
              <w:jc w:val="center"/>
              <w:rPr>
                <w:rFonts w:ascii="Times New Roman" w:hAnsi="Times New Roman" w:eastAsia="仿宋_GB2312" w:cs="宋体"/>
                <w:b/>
                <w:bCs/>
                <w:kern w:val="0"/>
                <w:szCs w:val="21"/>
              </w:rPr>
            </w:pPr>
            <w:r>
              <w:rPr>
                <w:rFonts w:hint="eastAsia" w:ascii="Times New Roman" w:hAnsi="Times New Roman" w:eastAsia="仿宋_GB2312" w:cs="宋体"/>
                <w:b/>
                <w:bCs/>
                <w:kern w:val="0"/>
                <w:szCs w:val="21"/>
              </w:rPr>
              <w:t>易发区级别及编号</w:t>
            </w:r>
          </w:p>
        </w:tc>
        <w:tc>
          <w:tcPr>
            <w:tcW w:w="1625" w:type="dxa"/>
            <w:vMerge w:val="restart"/>
            <w:shd w:val="clear" w:color="auto" w:fill="auto"/>
            <w:vAlign w:val="center"/>
          </w:tcPr>
          <w:p>
            <w:pPr>
              <w:widowControl/>
              <w:jc w:val="center"/>
              <w:rPr>
                <w:rFonts w:ascii="Times New Roman" w:hAnsi="Times New Roman" w:eastAsia="仿宋_GB2312" w:cs="宋体"/>
                <w:b/>
                <w:bCs/>
                <w:kern w:val="0"/>
                <w:szCs w:val="21"/>
              </w:rPr>
            </w:pPr>
            <w:r>
              <w:rPr>
                <w:rFonts w:hint="eastAsia" w:ascii="Times New Roman" w:hAnsi="Times New Roman" w:eastAsia="仿宋_GB2312" w:cs="宋体"/>
                <w:b/>
                <w:bCs/>
                <w:kern w:val="0"/>
                <w:szCs w:val="21"/>
              </w:rPr>
              <w:t>易发区名称</w:t>
            </w:r>
          </w:p>
        </w:tc>
        <w:tc>
          <w:tcPr>
            <w:tcW w:w="688" w:type="dxa"/>
            <w:vMerge w:val="restart"/>
            <w:shd w:val="clear" w:color="auto" w:fill="auto"/>
            <w:vAlign w:val="center"/>
          </w:tcPr>
          <w:p>
            <w:pPr>
              <w:widowControl/>
              <w:jc w:val="center"/>
              <w:rPr>
                <w:rFonts w:ascii="Times New Roman" w:hAnsi="Times New Roman" w:eastAsia="仿宋_GB2312" w:cs="宋体"/>
                <w:b/>
                <w:bCs/>
                <w:kern w:val="0"/>
                <w:szCs w:val="21"/>
              </w:rPr>
            </w:pPr>
            <w:r>
              <w:rPr>
                <w:rFonts w:hint="eastAsia" w:ascii="Times New Roman" w:hAnsi="Times New Roman" w:eastAsia="仿宋_GB2312" w:cs="宋体"/>
                <w:b/>
                <w:bCs/>
                <w:kern w:val="0"/>
                <w:szCs w:val="21"/>
              </w:rPr>
              <w:t>面积（</w:t>
            </w:r>
            <w:r>
              <w:rPr>
                <w:rFonts w:ascii="Times New Roman" w:hAnsi="Times New Roman" w:eastAsia="仿宋_GB2312" w:cs="宋体"/>
                <w:b/>
                <w:bCs/>
                <w:kern w:val="0"/>
                <w:szCs w:val="21"/>
              </w:rPr>
              <w:t>km2</w:t>
            </w:r>
            <w:r>
              <w:rPr>
                <w:rFonts w:hint="eastAsia" w:ascii="Times New Roman" w:hAnsi="Times New Roman" w:eastAsia="仿宋_GB2312" w:cs="宋体"/>
                <w:b/>
                <w:bCs/>
                <w:kern w:val="0"/>
                <w:szCs w:val="21"/>
              </w:rPr>
              <w:t>）</w:t>
            </w:r>
          </w:p>
        </w:tc>
        <w:tc>
          <w:tcPr>
            <w:tcW w:w="2928" w:type="dxa"/>
            <w:gridSpan w:val="3"/>
            <w:shd w:val="clear" w:color="auto" w:fill="auto"/>
            <w:vAlign w:val="center"/>
          </w:tcPr>
          <w:p>
            <w:pPr>
              <w:widowControl/>
              <w:jc w:val="center"/>
              <w:rPr>
                <w:rFonts w:ascii="Times New Roman" w:hAnsi="Times New Roman" w:eastAsia="仿宋_GB2312" w:cs="宋体"/>
                <w:b/>
                <w:bCs/>
                <w:kern w:val="0"/>
                <w:szCs w:val="21"/>
              </w:rPr>
            </w:pPr>
            <w:r>
              <w:rPr>
                <w:rFonts w:hint="eastAsia" w:ascii="Times New Roman" w:hAnsi="Times New Roman" w:eastAsia="仿宋_GB2312" w:cs="宋体"/>
                <w:b/>
                <w:bCs/>
                <w:kern w:val="0"/>
                <w:szCs w:val="21"/>
              </w:rPr>
              <w:t>地质灾害隐患</w:t>
            </w:r>
          </w:p>
        </w:tc>
        <w:tc>
          <w:tcPr>
            <w:tcW w:w="3260" w:type="dxa"/>
            <w:gridSpan w:val="3"/>
            <w:shd w:val="clear" w:color="auto" w:fill="auto"/>
            <w:vAlign w:val="center"/>
          </w:tcPr>
          <w:p>
            <w:pPr>
              <w:widowControl/>
              <w:jc w:val="center"/>
              <w:rPr>
                <w:rFonts w:ascii="Times New Roman" w:hAnsi="Times New Roman" w:eastAsia="仿宋_GB2312" w:cs="宋体"/>
                <w:b/>
                <w:bCs/>
                <w:kern w:val="0"/>
                <w:szCs w:val="21"/>
              </w:rPr>
            </w:pPr>
            <w:r>
              <w:rPr>
                <w:rFonts w:hint="eastAsia" w:ascii="Times New Roman" w:hAnsi="Times New Roman" w:eastAsia="仿宋_GB2312" w:cs="宋体"/>
                <w:b/>
                <w:bCs/>
                <w:kern w:val="0"/>
                <w:szCs w:val="21"/>
              </w:rPr>
              <w:t>地质灾害风险防范区</w:t>
            </w:r>
          </w:p>
        </w:tc>
        <w:tc>
          <w:tcPr>
            <w:tcW w:w="1417" w:type="dxa"/>
            <w:vMerge w:val="restart"/>
            <w:shd w:val="clear" w:color="000000" w:fill="FFFFFF"/>
            <w:vAlign w:val="center"/>
          </w:tcPr>
          <w:p>
            <w:pPr>
              <w:widowControl/>
              <w:jc w:val="center"/>
              <w:rPr>
                <w:rFonts w:ascii="Times New Roman" w:hAnsi="Times New Roman" w:eastAsia="仿宋_GB2312" w:cs="宋体"/>
                <w:b/>
                <w:bCs/>
                <w:kern w:val="0"/>
                <w:szCs w:val="21"/>
              </w:rPr>
            </w:pPr>
            <w:r>
              <w:rPr>
                <w:rFonts w:hint="eastAsia" w:ascii="Times New Roman" w:hAnsi="Times New Roman" w:eastAsia="仿宋_GB2312" w:cs="宋体"/>
                <w:b/>
                <w:bCs/>
                <w:kern w:val="0"/>
                <w:szCs w:val="21"/>
              </w:rPr>
              <w:t>地质环境条件简述</w:t>
            </w:r>
          </w:p>
        </w:tc>
        <w:tc>
          <w:tcPr>
            <w:tcW w:w="3119" w:type="dxa"/>
            <w:vMerge w:val="restart"/>
            <w:shd w:val="clear" w:color="auto" w:fill="auto"/>
            <w:vAlign w:val="center"/>
          </w:tcPr>
          <w:p>
            <w:pPr>
              <w:widowControl/>
              <w:jc w:val="center"/>
              <w:rPr>
                <w:rFonts w:ascii="Times New Roman" w:hAnsi="Times New Roman" w:eastAsia="仿宋_GB2312" w:cs="宋体"/>
                <w:b/>
                <w:bCs/>
                <w:kern w:val="0"/>
                <w:szCs w:val="21"/>
              </w:rPr>
            </w:pPr>
            <w:r>
              <w:rPr>
                <w:rFonts w:hint="eastAsia" w:ascii="Times New Roman" w:hAnsi="Times New Roman" w:eastAsia="仿宋_GB2312" w:cs="宋体"/>
                <w:b/>
                <w:bCs/>
                <w:kern w:val="0"/>
                <w:szCs w:val="21"/>
              </w:rPr>
              <w:t>主要防治监管要求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0" w:type="dxa"/>
            <w:gridSpan w:val="2"/>
            <w:vMerge w:val="continue"/>
            <w:vAlign w:val="center"/>
          </w:tcPr>
          <w:p>
            <w:pPr>
              <w:widowControl/>
              <w:jc w:val="left"/>
              <w:rPr>
                <w:rFonts w:ascii="Times New Roman" w:hAnsi="Times New Roman" w:eastAsia="仿宋_GB2312" w:cs="宋体"/>
                <w:kern w:val="0"/>
                <w:szCs w:val="21"/>
              </w:rPr>
            </w:pPr>
          </w:p>
        </w:tc>
        <w:tc>
          <w:tcPr>
            <w:tcW w:w="1625" w:type="dxa"/>
            <w:vMerge w:val="continue"/>
            <w:vAlign w:val="center"/>
          </w:tcPr>
          <w:p>
            <w:pPr>
              <w:widowControl/>
              <w:jc w:val="left"/>
              <w:rPr>
                <w:rFonts w:ascii="Times New Roman" w:hAnsi="Times New Roman" w:eastAsia="仿宋_GB2312" w:cs="宋体"/>
                <w:kern w:val="0"/>
                <w:szCs w:val="21"/>
              </w:rPr>
            </w:pPr>
          </w:p>
        </w:tc>
        <w:tc>
          <w:tcPr>
            <w:tcW w:w="688" w:type="dxa"/>
            <w:vMerge w:val="continue"/>
            <w:vAlign w:val="center"/>
          </w:tcPr>
          <w:p>
            <w:pPr>
              <w:widowControl/>
              <w:jc w:val="left"/>
              <w:rPr>
                <w:rFonts w:ascii="Times New Roman" w:hAnsi="Times New Roman" w:eastAsia="仿宋_GB2312" w:cs="宋体"/>
                <w:kern w:val="0"/>
                <w:szCs w:val="21"/>
              </w:rPr>
            </w:pPr>
          </w:p>
        </w:tc>
        <w:tc>
          <w:tcPr>
            <w:tcW w:w="943" w:type="dxa"/>
            <w:shd w:val="clear" w:color="auto" w:fill="auto"/>
            <w:vAlign w:val="center"/>
          </w:tcPr>
          <w:p>
            <w:pPr>
              <w:widowControl/>
              <w:jc w:val="center"/>
              <w:rPr>
                <w:rFonts w:ascii="Times New Roman" w:hAnsi="Times New Roman" w:eastAsia="仿宋_GB2312" w:cs="宋体"/>
                <w:b/>
                <w:bCs/>
                <w:kern w:val="0"/>
                <w:szCs w:val="21"/>
              </w:rPr>
            </w:pPr>
            <w:r>
              <w:rPr>
                <w:rFonts w:hint="eastAsia" w:ascii="Times New Roman" w:hAnsi="Times New Roman" w:eastAsia="仿宋_GB2312" w:cs="宋体"/>
                <w:b/>
                <w:bCs/>
                <w:kern w:val="0"/>
                <w:szCs w:val="21"/>
              </w:rPr>
              <w:t>数量（处）</w:t>
            </w:r>
          </w:p>
        </w:tc>
        <w:tc>
          <w:tcPr>
            <w:tcW w:w="992" w:type="dxa"/>
            <w:shd w:val="clear" w:color="auto" w:fill="auto"/>
            <w:vAlign w:val="center"/>
          </w:tcPr>
          <w:p>
            <w:pPr>
              <w:widowControl/>
              <w:jc w:val="center"/>
              <w:rPr>
                <w:rFonts w:ascii="Times New Roman" w:hAnsi="Times New Roman" w:eastAsia="仿宋_GB2312" w:cs="宋体"/>
                <w:b/>
                <w:bCs/>
                <w:kern w:val="0"/>
                <w:szCs w:val="21"/>
              </w:rPr>
            </w:pPr>
            <w:r>
              <w:rPr>
                <w:rFonts w:hint="eastAsia" w:ascii="Times New Roman" w:hAnsi="Times New Roman" w:eastAsia="仿宋_GB2312" w:cs="宋体"/>
                <w:b/>
                <w:bCs/>
                <w:kern w:val="0"/>
                <w:szCs w:val="21"/>
              </w:rPr>
              <w:t>威胁人数（人）</w:t>
            </w:r>
          </w:p>
        </w:tc>
        <w:tc>
          <w:tcPr>
            <w:tcW w:w="993" w:type="dxa"/>
            <w:shd w:val="clear" w:color="auto" w:fill="auto"/>
            <w:vAlign w:val="center"/>
          </w:tcPr>
          <w:p>
            <w:pPr>
              <w:widowControl/>
              <w:jc w:val="center"/>
              <w:rPr>
                <w:rFonts w:ascii="Times New Roman" w:hAnsi="Times New Roman" w:eastAsia="仿宋_GB2312" w:cs="宋体"/>
                <w:b/>
                <w:bCs/>
                <w:kern w:val="0"/>
                <w:szCs w:val="21"/>
              </w:rPr>
            </w:pPr>
            <w:r>
              <w:rPr>
                <w:rFonts w:hint="eastAsia" w:ascii="Times New Roman" w:hAnsi="Times New Roman" w:eastAsia="仿宋_GB2312" w:cs="宋体"/>
                <w:b/>
                <w:bCs/>
                <w:kern w:val="0"/>
                <w:szCs w:val="21"/>
              </w:rPr>
              <w:t>威胁财产（万元）</w:t>
            </w:r>
          </w:p>
        </w:tc>
        <w:tc>
          <w:tcPr>
            <w:tcW w:w="992" w:type="dxa"/>
            <w:shd w:val="clear" w:color="auto" w:fill="auto"/>
            <w:vAlign w:val="center"/>
          </w:tcPr>
          <w:p>
            <w:pPr>
              <w:widowControl/>
              <w:jc w:val="center"/>
              <w:rPr>
                <w:rFonts w:ascii="Times New Roman" w:hAnsi="Times New Roman" w:eastAsia="仿宋_GB2312" w:cs="宋体"/>
                <w:b/>
                <w:bCs/>
                <w:kern w:val="0"/>
                <w:szCs w:val="21"/>
              </w:rPr>
            </w:pPr>
            <w:r>
              <w:rPr>
                <w:rFonts w:hint="eastAsia" w:ascii="Times New Roman" w:hAnsi="Times New Roman" w:eastAsia="仿宋_GB2312" w:cs="宋体"/>
                <w:b/>
                <w:bCs/>
                <w:kern w:val="0"/>
                <w:szCs w:val="21"/>
              </w:rPr>
              <w:t>数量（处）</w:t>
            </w:r>
          </w:p>
        </w:tc>
        <w:tc>
          <w:tcPr>
            <w:tcW w:w="992" w:type="dxa"/>
            <w:shd w:val="clear" w:color="auto" w:fill="auto"/>
            <w:vAlign w:val="center"/>
          </w:tcPr>
          <w:p>
            <w:pPr>
              <w:widowControl/>
              <w:jc w:val="center"/>
              <w:rPr>
                <w:rFonts w:ascii="Times New Roman" w:hAnsi="Times New Roman" w:eastAsia="仿宋_GB2312" w:cs="宋体"/>
                <w:b/>
                <w:bCs/>
                <w:kern w:val="0"/>
                <w:szCs w:val="21"/>
              </w:rPr>
            </w:pPr>
            <w:r>
              <w:rPr>
                <w:rFonts w:hint="eastAsia" w:ascii="Times New Roman" w:hAnsi="Times New Roman" w:eastAsia="仿宋_GB2312" w:cs="宋体"/>
                <w:b/>
                <w:bCs/>
                <w:kern w:val="0"/>
                <w:szCs w:val="21"/>
              </w:rPr>
              <w:t>影响人数（人）</w:t>
            </w:r>
          </w:p>
        </w:tc>
        <w:tc>
          <w:tcPr>
            <w:tcW w:w="1276" w:type="dxa"/>
            <w:shd w:val="clear" w:color="auto" w:fill="auto"/>
            <w:vAlign w:val="center"/>
          </w:tcPr>
          <w:p>
            <w:pPr>
              <w:widowControl/>
              <w:jc w:val="center"/>
              <w:rPr>
                <w:rFonts w:ascii="Times New Roman" w:hAnsi="Times New Roman" w:eastAsia="仿宋_GB2312" w:cs="宋体"/>
                <w:b/>
                <w:bCs/>
                <w:kern w:val="0"/>
                <w:szCs w:val="21"/>
              </w:rPr>
            </w:pPr>
            <w:r>
              <w:rPr>
                <w:rFonts w:hint="eastAsia" w:ascii="Times New Roman" w:hAnsi="Times New Roman" w:eastAsia="仿宋_GB2312" w:cs="宋体"/>
                <w:b/>
                <w:bCs/>
                <w:kern w:val="0"/>
                <w:szCs w:val="21"/>
              </w:rPr>
              <w:t>影响财产（万元）</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trPr>
        <w:tc>
          <w:tcPr>
            <w:tcW w:w="371" w:type="dxa"/>
            <w:vMerge w:val="restar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高易发区</w:t>
            </w: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A1</w:t>
            </w:r>
          </w:p>
        </w:tc>
        <w:tc>
          <w:tcPr>
            <w:tcW w:w="1625" w:type="dxa"/>
            <w:shd w:val="clear" w:color="auto" w:fill="auto"/>
            <w:vAlign w:val="center"/>
          </w:tcPr>
          <w:p>
            <w:pPr>
              <w:widowControl/>
              <w:ind w:left="-113" w:leftChars="-54"/>
              <w:jc w:val="left"/>
              <w:rPr>
                <w:rFonts w:ascii="Times New Roman" w:hAnsi="Times New Roman" w:eastAsia="仿宋_GB2312" w:cs="宋体"/>
                <w:kern w:val="0"/>
                <w:szCs w:val="21"/>
              </w:rPr>
            </w:pPr>
            <w:r>
              <w:rPr>
                <w:rFonts w:hint="eastAsia" w:ascii="Times New Roman" w:hAnsi="Times New Roman" w:eastAsia="仿宋_GB2312" w:cs="宋体"/>
                <w:kern w:val="0"/>
                <w:szCs w:val="21"/>
              </w:rPr>
              <w:t>王宅石彭头—新宅镇矿洪高易发区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7.90</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6</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19</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61</w:t>
            </w:r>
          </w:p>
        </w:tc>
        <w:tc>
          <w:tcPr>
            <w:tcW w:w="1417" w:type="dxa"/>
            <w:vMerge w:val="restart"/>
            <w:shd w:val="clear" w:color="000000" w:fill="FFFFFF"/>
            <w:vAlign w:val="center"/>
          </w:tcPr>
          <w:p>
            <w:pPr>
              <w:widowControl/>
              <w:rPr>
                <w:rFonts w:ascii="Times New Roman" w:hAnsi="Times New Roman" w:eastAsia="仿宋_GB2312" w:cs="宋体"/>
                <w:kern w:val="0"/>
                <w:szCs w:val="21"/>
              </w:rPr>
            </w:pPr>
            <w:r>
              <w:rPr>
                <w:rFonts w:hint="eastAsia" w:ascii="Times New Roman" w:hAnsi="Times New Roman" w:eastAsia="仿宋_GB2312" w:cs="宋体"/>
                <w:kern w:val="0"/>
                <w:szCs w:val="21"/>
              </w:rPr>
              <w:t>该区属低山丘陵及丘陵与沟谷过渡地带，出露地层主要是白垩系下统西山头组、馆头组、茶湾组及高坞组火山碎屑岩，岩性主要是凝灰岩及砂砾岩夹粉砂质泥岩，岩石易风化破碎，松散层较厚，地质环境条件脆弱。</w:t>
            </w:r>
          </w:p>
        </w:tc>
        <w:tc>
          <w:tcPr>
            <w:tcW w:w="3119" w:type="dxa"/>
            <w:vMerge w:val="restart"/>
            <w:shd w:val="clear" w:color="auto" w:fill="auto"/>
            <w:vAlign w:val="center"/>
          </w:tcPr>
          <w:p>
            <w:pPr>
              <w:widowControl/>
              <w:jc w:val="left"/>
              <w:rPr>
                <w:rFonts w:ascii="Times New Roman" w:hAnsi="Times New Roman" w:eastAsia="仿宋_GB2312" w:cs="宋体"/>
                <w:kern w:val="0"/>
                <w:szCs w:val="21"/>
              </w:rPr>
            </w:pPr>
            <w:r>
              <w:rPr>
                <w:rFonts w:ascii="Times New Roman" w:hAnsi="Times New Roman" w:eastAsia="仿宋_GB2312" w:cs="宋体"/>
                <w:kern w:val="0"/>
                <w:szCs w:val="21"/>
              </w:rPr>
              <w:t>1</w:t>
            </w:r>
            <w:r>
              <w:rPr>
                <w:rFonts w:hint="eastAsia" w:ascii="Times New Roman" w:hAnsi="Times New Roman" w:eastAsia="仿宋_GB2312" w:cs="宋体"/>
                <w:kern w:val="0"/>
                <w:szCs w:val="21"/>
              </w:rPr>
              <w:t>、加强汛期地质灾害防御工作，完善地质灾害群测群防网络，认真做好监测预报预警，特别是泥石流地质灾害的监测预警。</w:t>
            </w:r>
            <w:r>
              <w:rPr>
                <w:rFonts w:ascii="Times New Roman" w:hAnsi="Times New Roman" w:eastAsia="仿宋_GB2312" w:cs="宋体"/>
                <w:kern w:val="0"/>
                <w:szCs w:val="21"/>
              </w:rPr>
              <w:t>2</w:t>
            </w:r>
            <w:r>
              <w:rPr>
                <w:rFonts w:hint="eastAsia" w:ascii="Times New Roman" w:hAnsi="Times New Roman" w:eastAsia="仿宋_GB2312" w:cs="宋体"/>
                <w:kern w:val="0"/>
                <w:szCs w:val="21"/>
              </w:rPr>
              <w:t>、开展大比例尺的地质灾害调查工作。</w:t>
            </w:r>
            <w:r>
              <w:rPr>
                <w:rFonts w:ascii="Times New Roman" w:hAnsi="Times New Roman" w:eastAsia="仿宋_GB2312" w:cs="宋体"/>
                <w:kern w:val="0"/>
                <w:szCs w:val="21"/>
              </w:rPr>
              <w:t>3</w:t>
            </w:r>
            <w:r>
              <w:rPr>
                <w:rFonts w:hint="eastAsia" w:ascii="Times New Roman" w:hAnsi="Times New Roman" w:eastAsia="仿宋_GB2312" w:cs="宋体"/>
                <w:kern w:val="0"/>
                <w:szCs w:val="21"/>
              </w:rPr>
              <w:t>、加大地质灾害防治力度，严格按计划开展地质灾害避让搬迁和治理工作。</w:t>
            </w:r>
            <w:r>
              <w:rPr>
                <w:rFonts w:ascii="Times New Roman" w:hAnsi="Times New Roman" w:eastAsia="仿宋_GB2312" w:cs="宋体"/>
                <w:kern w:val="0"/>
                <w:szCs w:val="21"/>
              </w:rPr>
              <w:t>4</w:t>
            </w:r>
            <w:r>
              <w:rPr>
                <w:rFonts w:hint="eastAsia" w:ascii="Times New Roman" w:hAnsi="Times New Roman" w:eastAsia="仿宋_GB2312" w:cs="宋体"/>
                <w:kern w:val="0"/>
                <w:szCs w:val="21"/>
              </w:rPr>
              <w:t>、乡镇（街道）编制年度地质灾害防治方案和应急预案，编制各地质灾害隐患点防灾预案，发放防灾、避险明白卡。</w:t>
            </w:r>
            <w:r>
              <w:rPr>
                <w:rFonts w:ascii="Times New Roman" w:hAnsi="Times New Roman" w:eastAsia="仿宋_GB2312" w:cs="宋体"/>
                <w:kern w:val="0"/>
                <w:szCs w:val="21"/>
              </w:rPr>
              <w:t>5</w:t>
            </w:r>
            <w:r>
              <w:rPr>
                <w:rFonts w:hint="eastAsia" w:ascii="Times New Roman" w:hAnsi="Times New Roman" w:eastAsia="仿宋_GB2312" w:cs="宋体"/>
                <w:kern w:val="0"/>
                <w:szCs w:val="21"/>
              </w:rPr>
              <w:t>、区内所有工程建设项目、村镇规划建设都要进行地质灾害危险性评估，农村私人建房要填写评估表，加强可能引发、加剧或遭受地质灾害的建设项目竣工验收工作。</w:t>
            </w:r>
            <w:r>
              <w:rPr>
                <w:rFonts w:ascii="Times New Roman" w:hAnsi="Times New Roman" w:eastAsia="仿宋_GB2312" w:cs="宋体"/>
                <w:kern w:val="0"/>
                <w:szCs w:val="21"/>
              </w:rPr>
              <w:t>6</w:t>
            </w:r>
            <w:r>
              <w:rPr>
                <w:rFonts w:hint="eastAsia" w:ascii="Times New Roman" w:hAnsi="Times New Roman" w:eastAsia="仿宋_GB2312" w:cs="宋体"/>
                <w:kern w:val="0"/>
                <w:szCs w:val="21"/>
              </w:rPr>
              <w:t>、规范人类工程活动，保护地质环境。</w:t>
            </w:r>
            <w:r>
              <w:rPr>
                <w:rFonts w:ascii="Times New Roman" w:hAnsi="Times New Roman" w:eastAsia="仿宋_GB2312" w:cs="宋体"/>
                <w:kern w:val="0"/>
                <w:szCs w:val="21"/>
              </w:rPr>
              <w:t>7</w:t>
            </w:r>
            <w:r>
              <w:rPr>
                <w:rFonts w:hint="eastAsia" w:ascii="Times New Roman" w:hAnsi="Times New Roman" w:eastAsia="仿宋_GB2312" w:cs="宋体"/>
                <w:kern w:val="0"/>
                <w:szCs w:val="21"/>
              </w:rPr>
              <w:t>、加强宣传教育和相关知识培训，提高广大干部群众防灾、救灾和互救能力。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A2</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俞源乡黄家里—坦洪乡上陶高易发区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3.61</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3</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17</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147</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A3</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柳城镇新塘高易发区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0.68</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48</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A4</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大溪口乡龙潭脚—大溪口高易发区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1.98</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135</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1026</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exact"/>
        </w:trPr>
        <w:tc>
          <w:tcPr>
            <w:tcW w:w="2475" w:type="dxa"/>
            <w:gridSpan w:val="3"/>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小计</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14.17</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14</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175</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1282</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restart"/>
            <w:shd w:val="clear" w:color="auto" w:fill="auto"/>
            <w:vAlign w:val="center"/>
          </w:tcPr>
          <w:p>
            <w:pPr>
              <w:widowControl/>
              <w:jc w:val="center"/>
              <w:rPr>
                <w:rFonts w:ascii="Times New Roman" w:hAnsi="Times New Roman" w:eastAsia="仿宋_GB2312" w:cs="宋体"/>
                <w:kern w:val="0"/>
                <w:szCs w:val="21"/>
              </w:rPr>
            </w:pPr>
          </w:p>
          <w:p>
            <w:pPr>
              <w:widowControl/>
              <w:jc w:val="center"/>
              <w:rPr>
                <w:rFonts w:ascii="Times New Roman" w:hAnsi="Times New Roman" w:eastAsia="仿宋_GB2312" w:cs="宋体"/>
                <w:kern w:val="0"/>
                <w:szCs w:val="21"/>
              </w:rPr>
            </w:pPr>
          </w:p>
          <w:p>
            <w:pPr>
              <w:widowControl/>
              <w:jc w:val="center"/>
              <w:rPr>
                <w:rFonts w:ascii="Times New Roman" w:hAnsi="Times New Roman" w:eastAsia="仿宋_GB2312" w:cs="宋体"/>
                <w:kern w:val="0"/>
                <w:szCs w:val="21"/>
              </w:rPr>
            </w:pPr>
          </w:p>
          <w:p>
            <w:pPr>
              <w:widowControl/>
              <w:jc w:val="center"/>
              <w:rPr>
                <w:rFonts w:ascii="Times New Roman" w:hAnsi="Times New Roman" w:eastAsia="仿宋_GB2312" w:cs="宋体"/>
                <w:kern w:val="0"/>
                <w:szCs w:val="21"/>
              </w:rPr>
            </w:pPr>
          </w:p>
          <w:p>
            <w:pPr>
              <w:widowControl/>
              <w:jc w:val="center"/>
              <w:rPr>
                <w:rFonts w:ascii="Times New Roman" w:hAnsi="Times New Roman" w:eastAsia="仿宋_GB2312" w:cs="宋体"/>
                <w:kern w:val="0"/>
                <w:szCs w:val="21"/>
              </w:rPr>
            </w:pPr>
          </w:p>
          <w:p>
            <w:pPr>
              <w:widowControl/>
              <w:jc w:val="center"/>
              <w:rPr>
                <w:rFonts w:ascii="Times New Roman" w:hAnsi="Times New Roman" w:eastAsia="仿宋_GB2312" w:cs="宋体"/>
                <w:kern w:val="0"/>
                <w:szCs w:val="21"/>
              </w:rPr>
            </w:pPr>
          </w:p>
          <w:p>
            <w:pPr>
              <w:widowControl/>
              <w:jc w:val="center"/>
              <w:rPr>
                <w:rFonts w:ascii="Times New Roman" w:hAnsi="Times New Roman" w:eastAsia="仿宋_GB2312" w:cs="宋体"/>
                <w:kern w:val="0"/>
                <w:szCs w:val="21"/>
              </w:rPr>
            </w:pPr>
          </w:p>
          <w:p>
            <w:pPr>
              <w:widowControl/>
              <w:jc w:val="center"/>
              <w:rPr>
                <w:rFonts w:ascii="Times New Roman" w:hAnsi="Times New Roman" w:eastAsia="仿宋_GB2312" w:cs="宋体"/>
                <w:kern w:val="0"/>
                <w:szCs w:val="21"/>
              </w:rPr>
            </w:pPr>
          </w:p>
          <w:p>
            <w:pPr>
              <w:widowControl/>
              <w:jc w:val="center"/>
              <w:rPr>
                <w:rFonts w:ascii="Times New Roman" w:hAnsi="Times New Roman" w:eastAsia="仿宋_GB2312" w:cs="宋体"/>
                <w:kern w:val="0"/>
                <w:szCs w:val="21"/>
              </w:rPr>
            </w:pPr>
          </w:p>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中易发区</w:t>
            </w: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B1</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茭道镇杨家—白洋街道牡丹陈中易发区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5.9</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580</w:t>
            </w:r>
          </w:p>
        </w:tc>
        <w:tc>
          <w:tcPr>
            <w:tcW w:w="1417" w:type="dxa"/>
            <w:vMerge w:val="restart"/>
            <w:shd w:val="clear" w:color="000000" w:fill="FFFFFF"/>
            <w:vAlign w:val="center"/>
          </w:tcPr>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rPr>
                <w:rFonts w:ascii="Times New Roman" w:hAnsi="Times New Roman" w:eastAsia="仿宋_GB2312" w:cs="宋体"/>
                <w:kern w:val="0"/>
                <w:szCs w:val="21"/>
              </w:rPr>
            </w:pPr>
            <w:r>
              <w:rPr>
                <w:rFonts w:hint="eastAsia" w:ascii="Times New Roman" w:hAnsi="Times New Roman" w:eastAsia="仿宋_GB2312" w:cs="宋体"/>
                <w:kern w:val="0"/>
                <w:szCs w:val="21"/>
              </w:rPr>
              <w:t>该区多属低山丘陵地貌，出露地层主要是白垩系下统西山头组、朝川组、馆头组、高坞组火山碎屑岩及侵入岩，断裂构造、地面塌陷较发育，局部松散层厚度较大，地质环境条件较脆弱。</w:t>
            </w: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rPr>
                <w:rFonts w:ascii="Times New Roman" w:hAnsi="Times New Roman" w:eastAsia="仿宋_GB2312" w:cs="宋体"/>
                <w:kern w:val="0"/>
                <w:szCs w:val="21"/>
              </w:rPr>
            </w:pPr>
            <w:r>
              <w:rPr>
                <w:rFonts w:hint="eastAsia" w:ascii="Times New Roman" w:hAnsi="Times New Roman" w:eastAsia="仿宋_GB2312" w:cs="宋体"/>
                <w:kern w:val="0"/>
                <w:szCs w:val="21"/>
              </w:rPr>
              <w:t>该区多属低山丘陵地貌，出露地层主要是白垩系下统西山头组、朝川组、馆头组、高坞组火山碎屑岩及侵入岩，断裂构造、地面塌陷较发育，局部松散层厚度较大，地质环境条件较脆弱。</w:t>
            </w:r>
          </w:p>
          <w:p>
            <w:pPr>
              <w:widowControl/>
              <w:jc w:val="left"/>
              <w:rPr>
                <w:rFonts w:ascii="Times New Roman" w:hAnsi="Times New Roman" w:eastAsia="仿宋_GB2312" w:cs="宋体"/>
                <w:kern w:val="0"/>
                <w:szCs w:val="21"/>
              </w:rPr>
            </w:pPr>
          </w:p>
        </w:tc>
        <w:tc>
          <w:tcPr>
            <w:tcW w:w="3119" w:type="dxa"/>
            <w:vMerge w:val="restart"/>
            <w:shd w:val="clear" w:color="auto" w:fill="auto"/>
            <w:vAlign w:val="center"/>
          </w:tcPr>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p>
          <w:p>
            <w:pPr>
              <w:widowControl/>
              <w:jc w:val="left"/>
              <w:rPr>
                <w:rFonts w:ascii="Times New Roman" w:hAnsi="Times New Roman" w:eastAsia="仿宋_GB2312" w:cs="宋体"/>
                <w:kern w:val="0"/>
                <w:szCs w:val="21"/>
              </w:rPr>
            </w:pPr>
            <w:r>
              <w:rPr>
                <w:rFonts w:ascii="Times New Roman" w:hAnsi="Times New Roman" w:eastAsia="仿宋_GB2312" w:cs="宋体"/>
                <w:kern w:val="0"/>
                <w:szCs w:val="21"/>
              </w:rPr>
              <w:t>1</w:t>
            </w:r>
            <w:r>
              <w:rPr>
                <w:rFonts w:hint="eastAsia" w:ascii="Times New Roman" w:hAnsi="Times New Roman" w:eastAsia="仿宋_GB2312" w:cs="宋体"/>
                <w:kern w:val="0"/>
                <w:szCs w:val="21"/>
              </w:rPr>
              <w:t>、完善地质灾害群测群防制度，认真做好监测预报预警，对重要地质灾害隐患点进行专业监测，并邀请专家进行现场指导；</w:t>
            </w:r>
            <w:r>
              <w:rPr>
                <w:rFonts w:ascii="Times New Roman" w:hAnsi="Times New Roman" w:eastAsia="仿宋_GB2312" w:cs="宋体"/>
                <w:kern w:val="0"/>
                <w:szCs w:val="21"/>
              </w:rPr>
              <w:t>2</w:t>
            </w:r>
            <w:r>
              <w:rPr>
                <w:rFonts w:hint="eastAsia" w:ascii="Times New Roman" w:hAnsi="Times New Roman" w:eastAsia="仿宋_GB2312" w:cs="宋体"/>
                <w:kern w:val="0"/>
                <w:szCs w:val="21"/>
              </w:rPr>
              <w:t>、编制年度地质灾害防治方案，结合地质灾害“风险码”做好汛期地质灾害、排查巡查和监测预报预警工作，发放地质灾害防灾明白卡，建立避灾安置点；</w:t>
            </w:r>
            <w:r>
              <w:rPr>
                <w:rFonts w:ascii="Times New Roman" w:hAnsi="Times New Roman" w:eastAsia="仿宋_GB2312" w:cs="宋体"/>
                <w:kern w:val="0"/>
                <w:szCs w:val="21"/>
              </w:rPr>
              <w:t>3</w:t>
            </w:r>
            <w:r>
              <w:rPr>
                <w:rFonts w:hint="eastAsia" w:ascii="Times New Roman" w:hAnsi="Times New Roman" w:eastAsia="仿宋_GB2312" w:cs="宋体"/>
                <w:kern w:val="0"/>
                <w:szCs w:val="21"/>
              </w:rPr>
              <w:t>、加大地质灾害调查评价，做好地质灾害点的防治工作；</w:t>
            </w:r>
            <w:r>
              <w:rPr>
                <w:rFonts w:ascii="Times New Roman" w:hAnsi="Times New Roman" w:eastAsia="仿宋_GB2312" w:cs="宋体"/>
                <w:kern w:val="0"/>
                <w:szCs w:val="21"/>
              </w:rPr>
              <w:t>4</w:t>
            </w:r>
            <w:r>
              <w:rPr>
                <w:rFonts w:hint="eastAsia" w:ascii="Times New Roman" w:hAnsi="Times New Roman" w:eastAsia="仿宋_GB2312" w:cs="宋体"/>
                <w:kern w:val="0"/>
                <w:szCs w:val="21"/>
              </w:rPr>
              <w:t>、区内所有工程建设项目均应进行地质灾害危险性评估，从源头上预防地质灾害的发生；</w:t>
            </w:r>
            <w:r>
              <w:rPr>
                <w:rFonts w:ascii="Times New Roman" w:hAnsi="Times New Roman" w:eastAsia="仿宋_GB2312" w:cs="宋体"/>
                <w:kern w:val="0"/>
                <w:szCs w:val="21"/>
              </w:rPr>
              <w:t>5</w:t>
            </w:r>
            <w:r>
              <w:rPr>
                <w:rFonts w:hint="eastAsia" w:ascii="Times New Roman" w:hAnsi="Times New Roman" w:eastAsia="仿宋_GB2312" w:cs="宋体"/>
                <w:kern w:val="0"/>
                <w:szCs w:val="21"/>
              </w:rPr>
              <w:t>、加强宣传教育，提高广大干部群众防灾、救灾和互救能力，开展防灾减灾演练。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B2</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白洋街道上青松—王村中易发区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1.95</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8</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18</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B3</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白洋街道白阳山中易发区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5.07</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350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3</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1150</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B4</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白洋街道后俸—深塘中易发区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2.20</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150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150</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B5</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壶山街道两头门—履坦镇徐主中易发区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1.08</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80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25</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189</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B6</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壶山街道万安岭脚—履坦镇松源中易发区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4.93</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27</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110</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B7</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熟溪街道西塘脚—泉溪镇冷水坑中易发区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2.59</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90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13</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174</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B8</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桐琴镇果园—叶村中易发区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1.59</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20</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B9</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泉溪镇麻田—桐琴镇盛岭下中易发区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1.19</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B10</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大田乡下弄—派塘中易发区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1.57</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30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8</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103</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B11</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白姆乡河山—元明寺中易发区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5.81</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5</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20</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B12</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白姆乡朱宅—外麻阳—白果树脚中易发区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8.12</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B13</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王宅镇马昂中易发区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3.00</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B14</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王宅镇大莱—平头中易发区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1.89</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B15</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桃溪镇陶村—坦洪乡杨柳源—桃溪镇潘家洋中易发区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7.46</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3</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10</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131</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B16</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桃溪镇子坑—锦平—西联乡内河洋中易发区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15.71</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192</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7</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22</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258</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B17</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柳城镇上黄—江坑中易发区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4.77</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10</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B18</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柳城镇乌漱—叶坑—上港乡周源中易发区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12.19</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200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5</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38</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308</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B19</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新宅镇桑坑头—库坑中易发区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1.52</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B20</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新宅镇沿溪口—岭脚中易发区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4.35</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B21</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新宅镇东渠—后汤中易发区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4.85</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13</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62</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B22</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大溪口乡翠竹—车昌中易发区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2.72</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20</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45</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475" w:type="dxa"/>
            <w:gridSpan w:val="3"/>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小计</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100.46</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1120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42</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189</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3336</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1" w:type="dxa"/>
            <w:vMerge w:val="restar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低易发区</w:t>
            </w: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C1</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白洋街道—茭道镇北部低易发区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61.55</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80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7</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23</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686</w:t>
            </w:r>
          </w:p>
        </w:tc>
        <w:tc>
          <w:tcPr>
            <w:tcW w:w="1417" w:type="dxa"/>
            <w:vMerge w:val="restart"/>
            <w:shd w:val="clear" w:color="000000" w:fill="FFFFFF"/>
            <w:vAlign w:val="center"/>
          </w:tcPr>
          <w:p>
            <w:pPr>
              <w:widowControl/>
              <w:jc w:val="center"/>
              <w:rPr>
                <w:rFonts w:ascii="Times New Roman" w:hAnsi="Times New Roman" w:eastAsia="仿宋_GB2312" w:cs="宋体"/>
                <w:kern w:val="0"/>
                <w:szCs w:val="21"/>
              </w:rPr>
            </w:pPr>
          </w:p>
          <w:p>
            <w:pPr>
              <w:widowControl/>
              <w:jc w:val="center"/>
              <w:rPr>
                <w:rFonts w:ascii="Times New Roman" w:hAnsi="Times New Roman" w:eastAsia="仿宋_GB2312" w:cs="宋体"/>
                <w:kern w:val="0"/>
                <w:szCs w:val="21"/>
              </w:rPr>
            </w:pPr>
          </w:p>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主要分布县域南部的低山丘陵区，全县均有分布，这些区域山高林密，人类工程活动强度相对较小，地质环境条件较好，地质灾害发育程度一般。</w:t>
            </w:r>
          </w:p>
        </w:tc>
        <w:tc>
          <w:tcPr>
            <w:tcW w:w="3119" w:type="dxa"/>
            <w:vMerge w:val="restart"/>
            <w:shd w:val="clear" w:color="auto" w:fill="auto"/>
            <w:vAlign w:val="center"/>
          </w:tcPr>
          <w:p>
            <w:pPr>
              <w:widowControl/>
              <w:jc w:val="left"/>
              <w:rPr>
                <w:rFonts w:ascii="Times New Roman" w:hAnsi="Times New Roman" w:eastAsia="仿宋_GB2312" w:cs="宋体"/>
                <w:kern w:val="0"/>
                <w:szCs w:val="21"/>
              </w:rPr>
            </w:pPr>
            <w:r>
              <w:rPr>
                <w:rFonts w:ascii="Times New Roman" w:hAnsi="Times New Roman" w:eastAsia="仿宋_GB2312" w:cs="宋体"/>
                <w:kern w:val="0"/>
                <w:szCs w:val="21"/>
              </w:rPr>
              <w:t>1</w:t>
            </w:r>
            <w:r>
              <w:rPr>
                <w:rFonts w:hint="eastAsia" w:ascii="Times New Roman" w:hAnsi="Times New Roman" w:eastAsia="仿宋_GB2312" w:cs="宋体"/>
                <w:kern w:val="0"/>
                <w:szCs w:val="21"/>
              </w:rPr>
              <w:t>、完善地质灾害群测群防制度，认真做好监测预报预警对重要地质灾害隐患点进行专业监测，并邀请专家进行现场指导；</w:t>
            </w:r>
            <w:r>
              <w:rPr>
                <w:rFonts w:ascii="Times New Roman" w:hAnsi="Times New Roman" w:eastAsia="仿宋_GB2312" w:cs="宋体"/>
                <w:kern w:val="0"/>
                <w:szCs w:val="21"/>
              </w:rPr>
              <w:t>2</w:t>
            </w:r>
            <w:r>
              <w:rPr>
                <w:rFonts w:hint="eastAsia" w:ascii="Times New Roman" w:hAnsi="Times New Roman" w:eastAsia="仿宋_GB2312" w:cs="宋体"/>
                <w:kern w:val="0"/>
                <w:szCs w:val="21"/>
              </w:rPr>
              <w:t>、编制年度地质灾害防治方案，结合地质灾害“风险码”做好汛期地质灾害、排查巡查和监测预报预警工作，发放地质灾害防灾明白卡，建立避灾安置点；</w:t>
            </w:r>
            <w:r>
              <w:rPr>
                <w:rFonts w:ascii="Times New Roman" w:hAnsi="Times New Roman" w:eastAsia="仿宋_GB2312" w:cs="宋体"/>
                <w:kern w:val="0"/>
                <w:szCs w:val="21"/>
              </w:rPr>
              <w:t>3</w:t>
            </w:r>
            <w:r>
              <w:rPr>
                <w:rFonts w:hint="eastAsia" w:ascii="Times New Roman" w:hAnsi="Times New Roman" w:eastAsia="仿宋_GB2312" w:cs="宋体"/>
                <w:kern w:val="0"/>
                <w:szCs w:val="21"/>
              </w:rPr>
              <w:t>、区内所有工程建设项目均应进行地质灾害危险性评估，从源头上预防地质灾害的发生；</w:t>
            </w:r>
            <w:r>
              <w:rPr>
                <w:rFonts w:ascii="Times New Roman" w:hAnsi="Times New Roman" w:eastAsia="仿宋_GB2312" w:cs="宋体"/>
                <w:kern w:val="0"/>
                <w:szCs w:val="21"/>
              </w:rPr>
              <w:t>4</w:t>
            </w:r>
            <w:r>
              <w:rPr>
                <w:rFonts w:hint="eastAsia" w:ascii="Times New Roman" w:hAnsi="Times New Roman" w:eastAsia="仿宋_GB2312" w:cs="宋体"/>
                <w:kern w:val="0"/>
                <w:szCs w:val="21"/>
              </w:rPr>
              <w:t>、加强宣传教育和专业知识培训，提高广大干部群众防灾、识灾和救灾能力。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C2</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白洋街道—茭道镇南部低易发区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35.90</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6</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828</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C3</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白洋街道南部—泉溪镇、桐琴镇北部低易发区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lang w:val="en-US" w:eastAsia="zh-CN"/>
              </w:rPr>
              <w:t>27.13</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500</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C4</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壶山街道东部—王宅镇东北部—大田乡北部低易发区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30.92</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274</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C5</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武义县南部低易发区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lang w:val="en-US" w:eastAsia="zh-CN"/>
              </w:rPr>
              <w:t>1084.53</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3</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110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102</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848</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5802</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371" w:type="dxa"/>
            <w:vMerge w:val="continue"/>
            <w:vAlign w:val="center"/>
          </w:tcPr>
          <w:p>
            <w:pPr>
              <w:widowControl/>
              <w:jc w:val="left"/>
              <w:rPr>
                <w:rFonts w:ascii="Times New Roman" w:hAnsi="Times New Roman" w:eastAsia="仿宋_GB2312" w:cs="宋体"/>
                <w:kern w:val="0"/>
                <w:szCs w:val="21"/>
              </w:rPr>
            </w:pP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C6</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桃溪镇东部低易发区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5.49</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2475" w:type="dxa"/>
            <w:gridSpan w:val="3"/>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小计</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lang w:val="en-US" w:eastAsia="zh-CN"/>
              </w:rPr>
              <w:t>1245.52</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4</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190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120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876</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8090</w:t>
            </w:r>
          </w:p>
        </w:tc>
        <w:tc>
          <w:tcPr>
            <w:tcW w:w="1417" w:type="dxa"/>
            <w:vMerge w:val="continue"/>
            <w:vAlign w:val="center"/>
          </w:tcPr>
          <w:p>
            <w:pPr>
              <w:widowControl/>
              <w:jc w:val="left"/>
              <w:rPr>
                <w:rFonts w:ascii="Times New Roman" w:hAnsi="Times New Roman" w:eastAsia="仿宋_GB2312" w:cs="宋体"/>
                <w:kern w:val="0"/>
                <w:szCs w:val="21"/>
              </w:rPr>
            </w:pPr>
          </w:p>
        </w:tc>
        <w:tc>
          <w:tcPr>
            <w:tcW w:w="3119" w:type="dxa"/>
            <w:vMerge w:val="continue"/>
            <w:vAlign w:val="center"/>
          </w:tcPr>
          <w:p>
            <w:pPr>
              <w:widowControl/>
              <w:jc w:val="left"/>
              <w:rPr>
                <w:rFonts w:ascii="Times New Roman" w:hAnsi="Times New Roman"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71" w:type="dxa"/>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不易发区</w:t>
            </w:r>
          </w:p>
        </w:tc>
        <w:tc>
          <w:tcPr>
            <w:tcW w:w="479"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D1-D5</w:t>
            </w:r>
          </w:p>
        </w:tc>
        <w:tc>
          <w:tcPr>
            <w:tcW w:w="1625" w:type="dxa"/>
            <w:shd w:val="clear" w:color="auto" w:fill="auto"/>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不易发区</w:t>
            </w:r>
          </w:p>
        </w:tc>
        <w:tc>
          <w:tcPr>
            <w:tcW w:w="688" w:type="dxa"/>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lang w:val="en-US" w:eastAsia="zh-CN"/>
              </w:rPr>
              <w:t>223.54</w:t>
            </w:r>
          </w:p>
        </w:tc>
        <w:tc>
          <w:tcPr>
            <w:tcW w:w="94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3"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10</w:t>
            </w:r>
          </w:p>
        </w:tc>
        <w:tc>
          <w:tcPr>
            <w:tcW w:w="992"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104</w:t>
            </w:r>
          </w:p>
        </w:tc>
        <w:tc>
          <w:tcPr>
            <w:tcW w:w="1276" w:type="dxa"/>
            <w:shd w:val="clear" w:color="auto" w:fill="auto"/>
            <w:vAlign w:val="center"/>
          </w:tcPr>
          <w:p>
            <w:pPr>
              <w:widowControl/>
              <w:jc w:val="center"/>
              <w:rPr>
                <w:rFonts w:ascii="Times New Roman" w:hAnsi="Times New Roman" w:eastAsia="仿宋_GB2312" w:cs="宋体"/>
                <w:kern w:val="0"/>
                <w:szCs w:val="21"/>
              </w:rPr>
            </w:pPr>
            <w:r>
              <w:rPr>
                <w:rFonts w:ascii="Times New Roman" w:hAnsi="Times New Roman" w:eastAsia="仿宋_GB2312" w:cs="宋体"/>
                <w:kern w:val="0"/>
                <w:szCs w:val="21"/>
              </w:rPr>
              <w:t>1408</w:t>
            </w:r>
          </w:p>
        </w:tc>
        <w:tc>
          <w:tcPr>
            <w:tcW w:w="1417" w:type="dxa"/>
            <w:shd w:val="clear" w:color="000000" w:fill="FFFFFF"/>
            <w:vAlign w:val="center"/>
          </w:tcPr>
          <w:p>
            <w:pPr>
              <w:widowControl/>
              <w:jc w:val="left"/>
              <w:rPr>
                <w:rFonts w:ascii="Times New Roman" w:hAnsi="Times New Roman" w:eastAsia="仿宋_GB2312" w:cs="宋体"/>
                <w:kern w:val="0"/>
                <w:szCs w:val="21"/>
              </w:rPr>
            </w:pPr>
            <w:r>
              <w:rPr>
                <w:rFonts w:hint="eastAsia" w:ascii="Times New Roman" w:hAnsi="Times New Roman" w:eastAsia="仿宋_GB2312" w:cs="宋体"/>
                <w:kern w:val="0"/>
                <w:szCs w:val="21"/>
              </w:rPr>
              <w:t>主要分布在武义盆地和宣平盆地的河谷平原地带。区内地质环境条件简单，地形平坦，突发性地质灾害不发育。</w:t>
            </w:r>
          </w:p>
        </w:tc>
        <w:tc>
          <w:tcPr>
            <w:tcW w:w="3119" w:type="dxa"/>
            <w:shd w:val="clear" w:color="auto" w:fill="auto"/>
            <w:vAlign w:val="center"/>
          </w:tcPr>
          <w:p>
            <w:pPr>
              <w:widowControl/>
              <w:jc w:val="left"/>
              <w:rPr>
                <w:rFonts w:ascii="Times New Roman" w:hAnsi="Times New Roman" w:eastAsia="仿宋_GB2312" w:cs="宋体"/>
                <w:kern w:val="0"/>
                <w:szCs w:val="21"/>
              </w:rPr>
            </w:pPr>
            <w:r>
              <w:rPr>
                <w:rFonts w:ascii="Times New Roman" w:hAnsi="Times New Roman" w:eastAsia="仿宋_GB2312" w:cs="宋体"/>
                <w:kern w:val="0"/>
                <w:szCs w:val="21"/>
              </w:rPr>
              <w:t>1.</w:t>
            </w:r>
            <w:r>
              <w:rPr>
                <w:rFonts w:hint="eastAsia" w:ascii="Times New Roman" w:hAnsi="Times New Roman" w:eastAsia="仿宋_GB2312" w:cs="宋体"/>
                <w:kern w:val="0"/>
                <w:szCs w:val="21"/>
              </w:rPr>
              <w:t>根据区内实际情况，做好地质灾害点的防治工作；</w:t>
            </w:r>
            <w:r>
              <w:rPr>
                <w:rFonts w:ascii="Times New Roman" w:hAnsi="Times New Roman" w:eastAsia="仿宋_GB2312" w:cs="宋体"/>
                <w:kern w:val="0"/>
                <w:szCs w:val="21"/>
              </w:rPr>
              <w:t>2.</w:t>
            </w:r>
            <w:r>
              <w:rPr>
                <w:rFonts w:hint="eastAsia" w:ascii="Times New Roman" w:hAnsi="Times New Roman" w:eastAsia="仿宋_GB2312" w:cs="宋体"/>
                <w:kern w:val="0"/>
                <w:szCs w:val="21"/>
              </w:rPr>
              <w:t>加强宣传教育和专业知识培训，提高广大干部群众防灾、识灾和救灾能力；</w:t>
            </w:r>
            <w:r>
              <w:rPr>
                <w:rFonts w:ascii="Times New Roman" w:hAnsi="Times New Roman" w:eastAsia="仿宋_GB2312" w:cs="宋体"/>
                <w:kern w:val="0"/>
                <w:szCs w:val="21"/>
              </w:rPr>
              <w:t>3</w:t>
            </w:r>
            <w:r>
              <w:rPr>
                <w:rFonts w:hint="eastAsia" w:ascii="Times New Roman" w:hAnsi="Times New Roman" w:eastAsia="仿宋_GB2312" w:cs="宋体"/>
                <w:kern w:val="0"/>
                <w:szCs w:val="21"/>
              </w:rPr>
              <w:t>、区内重要工程建设及集镇、村庄选址，建议进行地质灾害危险性评估。</w:t>
            </w:r>
          </w:p>
        </w:tc>
      </w:tr>
    </w:tbl>
    <w:p>
      <w:pPr>
        <w:spacing w:line="560" w:lineRule="exact"/>
        <w:ind w:firstLine="843" w:firstLineChars="300"/>
        <w:jc w:val="center"/>
        <w:rPr>
          <w:rFonts w:ascii="Times New Roman" w:hAnsi="Times New Roman" w:eastAsia="仿宋_GB2312" w:cs="仿宋_GB2312"/>
          <w:b/>
          <w:bCs/>
          <w:kern w:val="0"/>
          <w:sz w:val="28"/>
          <w:szCs w:val="28"/>
        </w:rPr>
      </w:pPr>
    </w:p>
    <w:p>
      <w:pPr>
        <w:widowControl/>
        <w:jc w:val="left"/>
        <w:rPr>
          <w:rFonts w:ascii="Times New Roman" w:hAnsi="Times New Roman" w:eastAsia="仿宋_GB2312" w:cs="仿宋_GB2312"/>
          <w:b/>
          <w:bCs/>
          <w:kern w:val="0"/>
          <w:sz w:val="28"/>
          <w:szCs w:val="28"/>
        </w:rPr>
      </w:pPr>
      <w:r>
        <w:rPr>
          <w:rFonts w:ascii="Times New Roman" w:hAnsi="Times New Roman" w:eastAsia="仿宋_GB2312" w:cs="仿宋_GB2312"/>
          <w:b/>
          <w:bCs/>
          <w:kern w:val="0"/>
          <w:sz w:val="28"/>
          <w:szCs w:val="28"/>
        </w:rPr>
        <w:br w:type="page"/>
      </w:r>
    </w:p>
    <w:p>
      <w:pPr>
        <w:spacing w:line="560" w:lineRule="exact"/>
        <w:ind w:firstLine="723" w:firstLineChars="300"/>
        <w:jc w:val="center"/>
        <w:rPr>
          <w:rFonts w:ascii="Times New Roman" w:hAnsi="Times New Roman" w:eastAsia="黑体" w:cs="仿宋_GB2312"/>
          <w:b/>
          <w:bCs/>
          <w:kern w:val="0"/>
          <w:sz w:val="24"/>
          <w:szCs w:val="24"/>
        </w:rPr>
      </w:pPr>
      <w:r>
        <w:rPr>
          <w:rFonts w:hint="eastAsia" w:ascii="Times New Roman" w:hAnsi="Times New Roman" w:eastAsia="黑体" w:cs="仿宋_GB2312"/>
          <w:b/>
          <w:bCs/>
          <w:kern w:val="0"/>
          <w:sz w:val="24"/>
          <w:szCs w:val="24"/>
        </w:rPr>
        <w:t>附表</w:t>
      </w:r>
      <w:r>
        <w:rPr>
          <w:rFonts w:ascii="Times New Roman" w:hAnsi="Times New Roman" w:eastAsia="黑体" w:cs="仿宋_GB2312"/>
          <w:b/>
          <w:bCs/>
          <w:kern w:val="0"/>
          <w:sz w:val="24"/>
          <w:szCs w:val="24"/>
        </w:rPr>
        <w:t xml:space="preserve">4  </w:t>
      </w:r>
      <w:r>
        <w:rPr>
          <w:rFonts w:hint="eastAsia" w:ascii="Times New Roman" w:hAnsi="Times New Roman" w:eastAsia="黑体" w:cs="仿宋_GB2312"/>
          <w:b/>
          <w:bCs/>
          <w:kern w:val="0"/>
          <w:sz w:val="24"/>
          <w:szCs w:val="24"/>
        </w:rPr>
        <w:t>武义县地质灾害重点防治区说明表</w:t>
      </w:r>
    </w:p>
    <w:tbl>
      <w:tblPr>
        <w:tblStyle w:val="16"/>
        <w:tblW w:w="13948" w:type="dxa"/>
        <w:tblInd w:w="0" w:type="dxa"/>
        <w:tblLayout w:type="fixed"/>
        <w:tblCellMar>
          <w:top w:w="0" w:type="dxa"/>
          <w:left w:w="108" w:type="dxa"/>
          <w:bottom w:w="0" w:type="dxa"/>
          <w:right w:w="108" w:type="dxa"/>
        </w:tblCellMar>
      </w:tblPr>
      <w:tblGrid>
        <w:gridCol w:w="631"/>
        <w:gridCol w:w="809"/>
        <w:gridCol w:w="2522"/>
        <w:gridCol w:w="1261"/>
        <w:gridCol w:w="2311"/>
        <w:gridCol w:w="2838"/>
        <w:gridCol w:w="3576"/>
      </w:tblGrid>
      <w:tr>
        <w:tblPrEx>
          <w:tblCellMar>
            <w:top w:w="0" w:type="dxa"/>
            <w:left w:w="108" w:type="dxa"/>
            <w:bottom w:w="0" w:type="dxa"/>
            <w:right w:w="108" w:type="dxa"/>
          </w:tblCellMar>
        </w:tblPrEx>
        <w:trPr>
          <w:trHeight w:val="555" w:hRule="atLeast"/>
          <w:tblHeader/>
        </w:trPr>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序号</w:t>
            </w:r>
          </w:p>
        </w:tc>
        <w:tc>
          <w:tcPr>
            <w:tcW w:w="8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编号</w:t>
            </w:r>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名称</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面积（</w:t>
            </w:r>
            <w:r>
              <w:rPr>
                <w:rFonts w:ascii="Times New Roman" w:hAnsi="Times New Roman" w:eastAsia="仿宋_GB2312" w:cs="仿宋_GB2312"/>
                <w:b/>
                <w:bCs/>
                <w:kern w:val="0"/>
                <w:szCs w:val="21"/>
              </w:rPr>
              <w:t>km</w:t>
            </w:r>
            <w:r>
              <w:rPr>
                <w:rFonts w:ascii="Times New Roman" w:hAnsi="Times New Roman" w:eastAsia="仿宋_GB2312" w:cs="仿宋_GB2312"/>
                <w:b/>
                <w:bCs/>
                <w:kern w:val="0"/>
                <w:szCs w:val="21"/>
                <w:vertAlign w:val="superscript"/>
              </w:rPr>
              <w:t>2</w:t>
            </w:r>
            <w:r>
              <w:rPr>
                <w:rFonts w:hint="eastAsia" w:ascii="Times New Roman" w:hAnsi="Times New Roman" w:eastAsia="仿宋_GB2312" w:cs="仿宋_GB2312"/>
                <w:b/>
                <w:bCs/>
                <w:kern w:val="0"/>
                <w:szCs w:val="21"/>
              </w:rPr>
              <w:t>）</w:t>
            </w:r>
          </w:p>
        </w:tc>
        <w:tc>
          <w:tcPr>
            <w:tcW w:w="23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重点防护对象</w:t>
            </w:r>
          </w:p>
        </w:tc>
        <w:tc>
          <w:tcPr>
            <w:tcW w:w="28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防治工作措施和要求</w:t>
            </w:r>
          </w:p>
        </w:tc>
        <w:tc>
          <w:tcPr>
            <w:tcW w:w="3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责任单位</w:t>
            </w:r>
          </w:p>
        </w:tc>
      </w:tr>
      <w:tr>
        <w:tblPrEx>
          <w:tblCellMar>
            <w:top w:w="0" w:type="dxa"/>
            <w:left w:w="108" w:type="dxa"/>
            <w:bottom w:w="0" w:type="dxa"/>
            <w:right w:w="108" w:type="dxa"/>
          </w:tblCellMar>
        </w:tblPrEx>
        <w:trPr>
          <w:trHeight w:val="1838"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w:t>
            </w:r>
          </w:p>
        </w:tc>
        <w:tc>
          <w:tcPr>
            <w:tcW w:w="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 w:val="30"/>
                <w:szCs w:val="30"/>
              </w:rPr>
            </w:pPr>
            <m:oMathPara>
              <m:oMath>
                <m:sSub>
                  <m:sSubPr>
                    <m:ctrlPr>
                      <w:rPr>
                        <w:rFonts w:hint="eastAsia" w:ascii="Cambria Math" w:hAnsi="Cambria Math" w:eastAsia="仿宋_GB2312" w:cs="仿宋_GB2312"/>
                        <w:i/>
                        <w:kern w:val="0"/>
                        <w:sz w:val="30"/>
                        <w:szCs w:val="30"/>
                      </w:rPr>
                    </m:ctrlPr>
                  </m:sSubPr>
                  <m:e>
                    <m:r>
                      <m:rPr>
                        <m:sty m:val="p"/>
                      </m:rPr>
                      <w:rPr>
                        <w:rFonts w:hint="eastAsia" w:ascii="Cambria Math" w:hAnsi="Cambria Math" w:eastAsia="仿宋_GB2312" w:cs="仿宋_GB2312"/>
                        <w:kern w:val="0"/>
                        <w:sz w:val="30"/>
                        <w:szCs w:val="30"/>
                      </w:rPr>
                      <m:t>Ⅰ</m:t>
                    </m:r>
                    <m:ctrlPr>
                      <w:rPr>
                        <w:rFonts w:hint="eastAsia" w:ascii="Cambria Math" w:hAnsi="Cambria Math" w:eastAsia="仿宋_GB2312" w:cs="仿宋_GB2312"/>
                        <w:i/>
                        <w:kern w:val="0"/>
                        <w:sz w:val="30"/>
                        <w:szCs w:val="30"/>
                      </w:rPr>
                    </m:ctrlPr>
                  </m:e>
                  <m:sub>
                    <m:r>
                      <m:rPr/>
                      <w:rPr>
                        <w:rFonts w:hint="eastAsia" w:ascii="Cambria Math" w:hAnsi="Cambria Math" w:eastAsia="仿宋_GB2312" w:cs="仿宋_GB2312"/>
                        <w:kern w:val="0"/>
                        <w:sz w:val="30"/>
                        <w:szCs w:val="30"/>
                      </w:rPr>
                      <m:t>1</m:t>
                    </m:r>
                    <m:ctrlPr>
                      <w:rPr>
                        <w:rFonts w:hint="eastAsia" w:ascii="Cambria Math" w:hAnsi="Cambria Math" w:eastAsia="仿宋_GB2312" w:cs="仿宋_GB2312"/>
                        <w:i/>
                        <w:kern w:val="0"/>
                        <w:sz w:val="30"/>
                        <w:szCs w:val="30"/>
                      </w:rPr>
                    </m:ctrlPr>
                  </m:sub>
                </m:sSub>
              </m:oMath>
            </m:oMathPara>
          </w:p>
        </w:tc>
        <w:tc>
          <w:tcPr>
            <w:tcW w:w="25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白阳山重点防治区</w:t>
            </w:r>
          </w:p>
          <w:p>
            <w:pPr>
              <w:widowControl/>
              <w:jc w:val="center"/>
              <w:rPr>
                <w:rFonts w:ascii="Times New Roman" w:hAnsi="Times New Roman" w:eastAsia="仿宋_GB2312" w:cs="仿宋_GB2312"/>
                <w:kern w:val="0"/>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6.34</w:t>
            </w:r>
          </w:p>
        </w:tc>
        <w:tc>
          <w:tcPr>
            <w:tcW w:w="23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居民点、公路</w:t>
            </w:r>
          </w:p>
        </w:tc>
        <w:tc>
          <w:tcPr>
            <w:tcW w:w="2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r>
              <w:rPr>
                <w:rFonts w:ascii="Times New Roman" w:hAnsi="Times New Roman" w:eastAsia="仿宋_GB2312" w:cs="仿宋_GB2312"/>
                <w:kern w:val="0"/>
                <w:szCs w:val="21"/>
              </w:rPr>
              <w:t>1</w:t>
            </w:r>
            <w:r>
              <w:rPr>
                <w:rFonts w:hint="eastAsia" w:ascii="Times New Roman" w:hAnsi="Times New Roman" w:eastAsia="仿宋_GB2312" w:cs="仿宋_GB2312"/>
                <w:kern w:val="0"/>
                <w:szCs w:val="21"/>
              </w:rPr>
              <w:t>、群测群防；</w:t>
            </w:r>
            <w:r>
              <w:rPr>
                <w:rFonts w:ascii="Times New Roman" w:hAnsi="Times New Roman" w:eastAsia="仿宋_GB2312" w:cs="仿宋_GB2312"/>
                <w:kern w:val="0"/>
                <w:szCs w:val="21"/>
              </w:rPr>
              <w:t>2</w:t>
            </w:r>
            <w:r>
              <w:rPr>
                <w:rFonts w:hint="eastAsia" w:ascii="Times New Roman" w:hAnsi="Times New Roman" w:eastAsia="仿宋_GB2312" w:cs="仿宋_GB2312"/>
                <w:kern w:val="0"/>
                <w:szCs w:val="21"/>
              </w:rPr>
              <w:t>、进一步提升地质灾害监测预警准确度和速度；</w:t>
            </w:r>
            <w:r>
              <w:rPr>
                <w:rFonts w:ascii="Times New Roman" w:hAnsi="Times New Roman" w:eastAsia="仿宋_GB2312" w:cs="仿宋_GB2312"/>
                <w:kern w:val="0"/>
                <w:szCs w:val="21"/>
              </w:rPr>
              <w:t>3</w:t>
            </w:r>
            <w:r>
              <w:rPr>
                <w:rFonts w:hint="eastAsia" w:ascii="Times New Roman" w:hAnsi="Times New Roman" w:eastAsia="仿宋_GB2312" w:cs="仿宋_GB2312"/>
                <w:kern w:val="0"/>
                <w:szCs w:val="21"/>
              </w:rPr>
              <w:t>、对地质灾害易发区内的学校、集镇、旅游景点、村庄等人口集聚区，以及交通沿线、重要基础设施、低丘缓坡开发区等开展地质灾害隐患排查，对已知的隐患点和重点巡查区则在每年汛期前进行现场排查、汛期中巡查、汛后核查，全面掌控地质灾害隐患点变化情况，对可能产生地质灾害的点及时发出预警组织防治措施；</w:t>
            </w:r>
            <w:r>
              <w:rPr>
                <w:rFonts w:ascii="Times New Roman" w:hAnsi="Times New Roman" w:eastAsia="仿宋_GB2312" w:cs="仿宋_GB2312"/>
                <w:kern w:val="0"/>
                <w:szCs w:val="21"/>
              </w:rPr>
              <w:t>4</w:t>
            </w:r>
            <w:r>
              <w:rPr>
                <w:rFonts w:hint="eastAsia" w:ascii="Times New Roman" w:hAnsi="Times New Roman" w:eastAsia="仿宋_GB2312" w:cs="仿宋_GB2312"/>
                <w:kern w:val="0"/>
                <w:szCs w:val="21"/>
              </w:rPr>
              <w:t>、加强对易发区重要建设项目进行调查评价，涉及地面塌陷区的建设项目要进行专项评价；</w:t>
            </w:r>
            <w:r>
              <w:rPr>
                <w:rFonts w:ascii="Times New Roman" w:hAnsi="Times New Roman" w:eastAsia="仿宋_GB2312" w:cs="仿宋_GB2312"/>
                <w:kern w:val="0"/>
                <w:szCs w:val="21"/>
              </w:rPr>
              <w:t xml:space="preserve"> 5</w:t>
            </w:r>
            <w:r>
              <w:rPr>
                <w:rFonts w:hint="eastAsia" w:ascii="Times New Roman" w:hAnsi="Times New Roman" w:eastAsia="仿宋_GB2312" w:cs="仿宋_GB2312"/>
                <w:kern w:val="0"/>
                <w:szCs w:val="21"/>
              </w:rPr>
              <w:t>、规范人类工程活动，有效避免人为引发地质灾害。</w:t>
            </w:r>
          </w:p>
        </w:tc>
        <w:tc>
          <w:tcPr>
            <w:tcW w:w="357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资规、建设、交通</w:t>
            </w:r>
          </w:p>
        </w:tc>
      </w:tr>
      <w:tr>
        <w:tblPrEx>
          <w:tblCellMar>
            <w:top w:w="0" w:type="dxa"/>
            <w:left w:w="108" w:type="dxa"/>
            <w:bottom w:w="0" w:type="dxa"/>
            <w:right w:w="108" w:type="dxa"/>
          </w:tblCellMar>
        </w:tblPrEx>
        <w:trPr>
          <w:trHeight w:val="2403"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w:t>
            </w:r>
          </w:p>
        </w:tc>
        <w:tc>
          <w:tcPr>
            <w:tcW w:w="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 w:val="18"/>
                <w:szCs w:val="18"/>
              </w:rPr>
            </w:pPr>
            <w:r>
              <w:rPr>
                <w:rFonts w:ascii="Times New Roman" w:hAnsi="Times New Roman" w:eastAsia="仿宋_GB2312" w:cs="仿宋_GB2312"/>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276225</wp:posOffset>
                      </wp:positionV>
                      <wp:extent cx="0" cy="2857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65" cy="281808"/>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anchor>
                  </w:drawing>
                </mc:Choice>
                <mc:Fallback>
                  <w:pict>
                    <v:shape id="_x0000_s1026" o:spid="_x0000_s1026" o:spt="202" type="#_x0000_t202" style="position:absolute;left:0pt;margin-left:3pt;margin-top:21.75pt;height:22.5pt;width:0pt;mso-wrap-style:none;z-index:251659264;mso-width-relative:page;mso-height-relative:page;" filled="f" stroked="f" coordsize="21600,21600" o:gfxdata="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CNk6UPSAAAABQEAAA8AAAAAAAAAAQAgAAAAIgAA&#10;AGRycy9kb3ducmV2LnhtbFBLAQIUABQAAAAIAIdO4kDXmsPr1QEAAKkDAAAOAAAAAAAAAAEAIAAA&#10;ACEBAABkcnMvZTJvRG9jLnhtbFBLBQYAAAAABgAGAFkBAABoBQAAAAA=&#10;">
                      <v:fill on="f" focussize="0,0"/>
                      <v:stroke on="f"/>
                      <v:imagedata o:title=""/>
                      <o:lock v:ext="edit" aspectratio="f"/>
                      <v:textbox inset="0mm,0mm,0mm,0mm" style="mso-fit-shape-to-text:t;"/>
                    </v:shape>
                  </w:pict>
                </mc:Fallback>
              </mc:AlternateContent>
            </w:r>
          </w:p>
          <w:p>
            <w:pPr>
              <w:rPr>
                <w:rFonts w:ascii="Times New Roman" w:hAnsi="Times New Roman" w:eastAsia="仿宋_GB2312" w:cs="仿宋_GB2312"/>
                <w:kern w:val="0"/>
                <w:sz w:val="18"/>
                <w:szCs w:val="18"/>
              </w:rPr>
            </w:pPr>
          </w:p>
          <w:p>
            <w:pPr>
              <w:rPr>
                <w:rFonts w:ascii="Times New Roman" w:hAnsi="Times New Roman" w:eastAsia="仿宋_GB2312" w:cs="仿宋_GB2312"/>
                <w:sz w:val="18"/>
                <w:szCs w:val="18"/>
              </w:rPr>
            </w:pPr>
          </w:p>
          <w:p>
            <w:pPr>
              <w:rPr>
                <w:rFonts w:ascii="Times New Roman" w:hAnsi="Times New Roman" w:eastAsia="仿宋_GB2312" w:cs="仿宋_GB2312"/>
                <w:sz w:val="32"/>
                <w:szCs w:val="32"/>
              </w:rPr>
            </w:pPr>
            <m:oMathPara>
              <m:oMath>
                <m:sSub>
                  <m:sSubPr>
                    <m:ctrlPr>
                      <w:rPr>
                        <w:rFonts w:hint="eastAsia" w:ascii="Cambria Math" w:hAnsi="Cambria Math" w:eastAsia="仿宋_GB2312" w:cs="仿宋_GB2312"/>
                        <w:i/>
                        <w:sz w:val="32"/>
                        <w:szCs w:val="32"/>
                      </w:rPr>
                    </m:ctrlPr>
                  </m:sSubPr>
                  <m:e>
                    <m:r>
                      <m:rPr>
                        <m:sty m:val="p"/>
                      </m:rPr>
                      <w:rPr>
                        <w:rFonts w:hint="eastAsia" w:ascii="Cambria Math" w:hAnsi="Cambria Math" w:eastAsia="仿宋_GB2312" w:cs="仿宋_GB2312"/>
                        <w:sz w:val="32"/>
                        <w:szCs w:val="32"/>
                      </w:rPr>
                      <m:t>Ⅰ</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2</m:t>
                    </m:r>
                    <m:ctrlPr>
                      <w:rPr>
                        <w:rFonts w:hint="eastAsia" w:ascii="Cambria Math" w:hAnsi="Cambria Math" w:eastAsia="仿宋_GB2312" w:cs="仿宋_GB2312"/>
                        <w:i/>
                        <w:sz w:val="32"/>
                        <w:szCs w:val="32"/>
                      </w:rPr>
                    </m:ctrlPr>
                  </m:sub>
                </m:sSub>
              </m:oMath>
            </m:oMathPara>
          </w:p>
          <w:p>
            <w:pPr>
              <w:rPr>
                <w:rFonts w:ascii="Times New Roman" w:hAnsi="Times New Roman" w:eastAsia="仿宋_GB2312" w:cs="仿宋_GB2312"/>
                <w:sz w:val="18"/>
                <w:szCs w:val="18"/>
              </w:rPr>
            </w:pPr>
          </w:p>
          <w:p>
            <w:pPr>
              <w:rPr>
                <w:rFonts w:ascii="Times New Roman" w:hAnsi="Times New Roman" w:eastAsia="仿宋_GB2312" w:cs="仿宋_GB2312"/>
                <w:sz w:val="18"/>
                <w:szCs w:val="18"/>
              </w:rPr>
            </w:pPr>
          </w:p>
          <w:p>
            <w:pPr>
              <w:rPr>
                <w:rFonts w:ascii="Times New Roman" w:hAnsi="Times New Roman" w:eastAsia="仿宋_GB2312" w:cs="仿宋_GB2312"/>
                <w:sz w:val="18"/>
                <w:szCs w:val="18"/>
              </w:rPr>
            </w:pPr>
          </w:p>
        </w:tc>
        <w:tc>
          <w:tcPr>
            <w:tcW w:w="25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平头—矿洪重点防治区</w:t>
            </w:r>
          </w:p>
          <w:p>
            <w:pPr>
              <w:widowControl/>
              <w:jc w:val="center"/>
              <w:rPr>
                <w:rFonts w:ascii="Times New Roman" w:hAnsi="Times New Roman" w:eastAsia="仿宋_GB2312" w:cs="仿宋_GB2312"/>
                <w:kern w:val="0"/>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12.02</w:t>
            </w:r>
          </w:p>
        </w:tc>
        <w:tc>
          <w:tcPr>
            <w:tcW w:w="23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居民点、乡镇公路</w:t>
            </w: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仿宋_GB2312"/>
                <w:kern w:val="0"/>
                <w:szCs w:val="21"/>
              </w:rPr>
            </w:pPr>
          </w:p>
        </w:tc>
        <w:tc>
          <w:tcPr>
            <w:tcW w:w="357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资规、建设、交通</w:t>
            </w:r>
          </w:p>
        </w:tc>
      </w:tr>
      <w:tr>
        <w:tblPrEx>
          <w:tblCellMar>
            <w:top w:w="0" w:type="dxa"/>
            <w:left w:w="108" w:type="dxa"/>
            <w:bottom w:w="0" w:type="dxa"/>
            <w:right w:w="108" w:type="dxa"/>
          </w:tblCellMar>
        </w:tblPrEx>
        <w:trPr>
          <w:trHeight w:val="56"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3</w:t>
            </w:r>
          </w:p>
        </w:tc>
        <w:tc>
          <w:tcPr>
            <w:tcW w:w="8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 w:val="18"/>
                <w:szCs w:val="18"/>
              </w:rPr>
            </w:pPr>
            <w:r>
              <w:rPr>
                <w:rFonts w:ascii="Times New Roman" w:hAnsi="Times New Roman" w:eastAsia="仿宋_GB2312" w:cs="仿宋_GB2312"/>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285750</wp:posOffset>
                      </wp:positionV>
                      <wp:extent cx="9525" cy="285750"/>
                      <wp:effectExtent l="0" t="0" r="0" b="0"/>
                      <wp:wrapNone/>
                      <wp:docPr id="7" name="文本框 7"/>
                      <wp:cNvGraphicFramePr/>
                      <a:graphic xmlns:a="http://schemas.openxmlformats.org/drawingml/2006/main">
                        <a:graphicData uri="http://schemas.microsoft.com/office/word/2010/wordprocessingShape">
                          <wps:wsp>
                            <wps:cNvSpPr txBox="1"/>
                            <wps:spPr>
                              <a:xfrm>
                                <a:off x="0" y="0"/>
                                <a:ext cx="65" cy="281808"/>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anchor>
                  </w:drawing>
                </mc:Choice>
                <mc:Fallback>
                  <w:pict>
                    <v:shape id="_x0000_s1026" o:spid="_x0000_s1026" o:spt="202" type="#_x0000_t202" style="position:absolute;left:0pt;margin-left:1.5pt;margin-top:22.5pt;height:22.5pt;width:0.75pt;mso-wrap-style:none;z-index:251660288;mso-width-relative:page;mso-height-relative:page;" filled="f" stroked="f" coordsize="21600,21600" o:gfxdata="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crWJ0wAAAAUBAAAPAAAAAAAAAAEAIAAAACIA&#10;AABkcnMvZG93bnJldi54bWxQSwECFAAUAAAACACHTuJA6ly/vdUBAACpAwAADgAAAAAAAAABACAA&#10;AAAiAQAAZHJzL2Uyb0RvYy54bWxQSwUGAAAAAAYABgBZAQAAaQUAAAAA&#10;">
                      <v:fill on="f" focussize="0,0"/>
                      <v:stroke on="f"/>
                      <v:imagedata o:title=""/>
                      <o:lock v:ext="edit" aspectratio="f"/>
                      <v:textbox inset="0mm,0mm,0mm,0mm" style="mso-fit-shape-to-text:t;"/>
                    </v:shape>
                  </w:pict>
                </mc:Fallback>
              </mc:AlternateContent>
            </w:r>
          </w:p>
          <w:p>
            <w:pPr>
              <w:rPr>
                <w:rFonts w:ascii="Times New Roman" w:hAnsi="Times New Roman" w:eastAsia="仿宋_GB2312" w:cs="仿宋_GB2312"/>
                <w:kern w:val="0"/>
                <w:sz w:val="18"/>
                <w:szCs w:val="18"/>
              </w:rPr>
            </w:pPr>
          </w:p>
          <w:p>
            <w:pPr>
              <w:rPr>
                <w:rFonts w:ascii="Times New Roman" w:hAnsi="Times New Roman" w:eastAsia="仿宋_GB2312" w:cs="仿宋_GB2312"/>
                <w:sz w:val="32"/>
                <w:szCs w:val="32"/>
              </w:rPr>
            </w:pPr>
            <m:oMathPara>
              <m:oMath>
                <m:sSub>
                  <m:sSubPr>
                    <m:ctrlPr>
                      <w:rPr>
                        <w:rFonts w:hint="eastAsia" w:ascii="Cambria Math" w:hAnsi="Cambria Math" w:eastAsia="仿宋_GB2312" w:cs="仿宋_GB2312"/>
                        <w:i/>
                        <w:sz w:val="32"/>
                        <w:szCs w:val="32"/>
                      </w:rPr>
                    </m:ctrlPr>
                  </m:sSubPr>
                  <m:e>
                    <m:r>
                      <m:rPr>
                        <m:sty m:val="p"/>
                      </m:rPr>
                      <w:rPr>
                        <w:rFonts w:hint="eastAsia" w:ascii="Cambria Math" w:hAnsi="Cambria Math" w:eastAsia="仿宋_GB2312" w:cs="仿宋_GB2312"/>
                        <w:sz w:val="32"/>
                        <w:szCs w:val="32"/>
                      </w:rPr>
                      <m:t>Ⅰ</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3</m:t>
                    </m:r>
                    <m:ctrlPr>
                      <w:rPr>
                        <w:rFonts w:hint="eastAsia" w:ascii="Cambria Math" w:hAnsi="Cambria Math" w:eastAsia="仿宋_GB2312" w:cs="仿宋_GB2312"/>
                        <w:i/>
                        <w:sz w:val="32"/>
                        <w:szCs w:val="32"/>
                      </w:rPr>
                    </m:ctrlPr>
                  </m:sub>
                </m:sSub>
              </m:oMath>
            </m:oMathPara>
          </w:p>
          <w:p>
            <w:pPr>
              <w:rPr>
                <w:rFonts w:ascii="Times New Roman" w:hAnsi="Times New Roman" w:eastAsia="仿宋_GB2312" w:cs="仿宋_GB2312"/>
                <w:kern w:val="0"/>
                <w:sz w:val="18"/>
                <w:szCs w:val="18"/>
              </w:rPr>
            </w:pPr>
          </w:p>
          <w:p>
            <w:pPr>
              <w:rPr>
                <w:rFonts w:ascii="Times New Roman" w:hAnsi="Times New Roman" w:eastAsia="仿宋_GB2312" w:cs="仿宋_GB2312"/>
                <w:kern w:val="0"/>
                <w:sz w:val="18"/>
                <w:szCs w:val="18"/>
              </w:rPr>
            </w:pPr>
          </w:p>
          <w:p>
            <w:pPr>
              <w:rPr>
                <w:rFonts w:ascii="Times New Roman" w:hAnsi="Times New Roman" w:eastAsia="仿宋_GB2312" w:cs="仿宋_GB2312"/>
                <w:kern w:val="0"/>
                <w:sz w:val="18"/>
                <w:szCs w:val="18"/>
              </w:rPr>
            </w:pPr>
          </w:p>
          <w:p>
            <w:pPr>
              <w:rPr>
                <w:rFonts w:ascii="Times New Roman" w:hAnsi="Times New Roman" w:eastAsia="仿宋_GB2312" w:cs="仿宋_GB2312"/>
                <w:sz w:val="18"/>
                <w:szCs w:val="18"/>
              </w:rPr>
            </w:pPr>
          </w:p>
        </w:tc>
        <w:tc>
          <w:tcPr>
            <w:tcW w:w="25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黄家里—上江重点防治区</w:t>
            </w:r>
          </w:p>
          <w:p>
            <w:pPr>
              <w:widowControl/>
              <w:jc w:val="center"/>
              <w:rPr>
                <w:rFonts w:ascii="Times New Roman" w:hAnsi="Times New Roman" w:eastAsia="仿宋_GB2312" w:cs="仿宋_GB2312"/>
                <w:kern w:val="0"/>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14.34</w:t>
            </w:r>
          </w:p>
        </w:tc>
        <w:tc>
          <w:tcPr>
            <w:tcW w:w="23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居民点、水库及乡镇公路</w:t>
            </w:r>
          </w:p>
        </w:tc>
        <w:tc>
          <w:tcPr>
            <w:tcW w:w="28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kern w:val="0"/>
                <w:szCs w:val="21"/>
              </w:rPr>
            </w:pPr>
          </w:p>
        </w:tc>
        <w:tc>
          <w:tcPr>
            <w:tcW w:w="357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资规、建设、交通、水利</w:t>
            </w:r>
          </w:p>
        </w:tc>
      </w:tr>
      <w:tr>
        <w:tblPrEx>
          <w:tblCellMar>
            <w:top w:w="0" w:type="dxa"/>
            <w:left w:w="108" w:type="dxa"/>
            <w:bottom w:w="0" w:type="dxa"/>
            <w:right w:w="108" w:type="dxa"/>
          </w:tblCellMar>
        </w:tblPrEx>
        <w:trPr>
          <w:trHeight w:val="1972" w:hRule="atLeast"/>
        </w:trPr>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4</w:t>
            </w:r>
          </w:p>
        </w:tc>
        <w:tc>
          <w:tcPr>
            <w:tcW w:w="809"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仿宋_GB2312" w:cs="仿宋_GB2312"/>
                <w:sz w:val="32"/>
                <w:szCs w:val="32"/>
              </w:rPr>
            </w:pPr>
            <m:oMathPara>
              <m:oMath>
                <m:sSub>
                  <m:sSubPr>
                    <m:ctrlPr>
                      <w:rPr>
                        <w:rFonts w:hint="eastAsia" w:ascii="Cambria Math" w:hAnsi="Cambria Math" w:eastAsia="仿宋_GB2312" w:cs="仿宋_GB2312"/>
                        <w:i/>
                        <w:sz w:val="32"/>
                        <w:szCs w:val="32"/>
                      </w:rPr>
                    </m:ctrlPr>
                  </m:sSubPr>
                  <m:e>
                    <m:r>
                      <m:rPr>
                        <m:sty m:val="p"/>
                      </m:rPr>
                      <w:rPr>
                        <w:rFonts w:hint="eastAsia" w:ascii="Cambria Math" w:hAnsi="Cambria Math" w:eastAsia="仿宋_GB2312" w:cs="仿宋_GB2312"/>
                        <w:sz w:val="32"/>
                        <w:szCs w:val="32"/>
                      </w:rPr>
                      <m:t>Ⅰ</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4</m:t>
                    </m:r>
                    <m:ctrlPr>
                      <w:rPr>
                        <w:rFonts w:hint="eastAsia" w:ascii="Cambria Math" w:hAnsi="Cambria Math" w:eastAsia="仿宋_GB2312" w:cs="仿宋_GB2312"/>
                        <w:i/>
                        <w:sz w:val="32"/>
                        <w:szCs w:val="32"/>
                      </w:rPr>
                    </m:ctrlPr>
                  </m:sub>
                </m:sSub>
              </m:oMath>
            </m:oMathPara>
          </w:p>
          <w:p>
            <w:pPr>
              <w:widowControl/>
              <w:jc w:val="left"/>
              <w:rPr>
                <w:rFonts w:ascii="Times New Roman" w:hAnsi="Times New Roman" w:eastAsia="仿宋_GB2312" w:cs="仿宋_GB2312"/>
                <w:kern w:val="0"/>
                <w:sz w:val="18"/>
                <w:szCs w:val="18"/>
              </w:rPr>
            </w:pPr>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上黄—石门洲重点防治区</w:t>
            </w:r>
          </w:p>
          <w:p>
            <w:pPr>
              <w:widowControl/>
              <w:jc w:val="center"/>
              <w:rPr>
                <w:rFonts w:ascii="Times New Roman" w:hAnsi="Times New Roman" w:eastAsia="仿宋_GB2312" w:cs="仿宋_GB2312"/>
                <w:kern w:val="0"/>
                <w:szCs w:val="21"/>
              </w:rPr>
            </w:pP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30.66</w:t>
            </w:r>
          </w:p>
        </w:tc>
        <w:tc>
          <w:tcPr>
            <w:tcW w:w="23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居民点、学校、水库及乡镇公路</w:t>
            </w:r>
          </w:p>
        </w:tc>
        <w:tc>
          <w:tcPr>
            <w:tcW w:w="2838"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3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资规、建设、教育、交通、水利</w:t>
            </w:r>
          </w:p>
        </w:tc>
      </w:tr>
      <w:tr>
        <w:tblPrEx>
          <w:tblCellMar>
            <w:top w:w="0" w:type="dxa"/>
            <w:left w:w="108" w:type="dxa"/>
            <w:bottom w:w="0" w:type="dxa"/>
            <w:right w:w="108" w:type="dxa"/>
          </w:tblCellMar>
        </w:tblPrEx>
        <w:trPr>
          <w:trHeight w:val="1972" w:hRule="atLeast"/>
        </w:trPr>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5</w:t>
            </w:r>
          </w:p>
        </w:tc>
        <w:tc>
          <w:tcPr>
            <w:tcW w:w="809" w:type="dxa"/>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eastAsia="仿宋_GB2312" w:cs="仿宋_GB2312"/>
                <w:sz w:val="32"/>
                <w:szCs w:val="32"/>
              </w:rPr>
            </w:pPr>
            <m:oMathPara>
              <m:oMath>
                <m:sSub>
                  <m:sSubPr>
                    <m:ctrlPr>
                      <w:rPr>
                        <w:rFonts w:hint="eastAsia" w:ascii="Cambria Math" w:hAnsi="Cambria Math" w:eastAsia="仿宋_GB2312" w:cs="仿宋_GB2312"/>
                        <w:i/>
                        <w:sz w:val="32"/>
                        <w:szCs w:val="32"/>
                      </w:rPr>
                    </m:ctrlPr>
                  </m:sSubPr>
                  <m:e>
                    <m:r>
                      <m:rPr>
                        <m:sty m:val="p"/>
                      </m:rPr>
                      <w:rPr>
                        <w:rFonts w:hint="eastAsia" w:ascii="Cambria Math" w:hAnsi="Cambria Math" w:eastAsia="仿宋_GB2312" w:cs="仿宋_GB2312"/>
                        <w:sz w:val="32"/>
                        <w:szCs w:val="32"/>
                      </w:rPr>
                      <m:t>Ⅰ</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5</m:t>
                    </m:r>
                    <m:ctrlPr>
                      <w:rPr>
                        <w:rFonts w:hint="eastAsia" w:ascii="Cambria Math" w:hAnsi="Cambria Math" w:eastAsia="仿宋_GB2312" w:cs="仿宋_GB2312"/>
                        <w:i/>
                        <w:sz w:val="32"/>
                        <w:szCs w:val="32"/>
                      </w:rPr>
                    </m:ctrlPr>
                  </m:sub>
                </m:sSub>
              </m:oMath>
            </m:oMathPara>
          </w:p>
          <w:p>
            <w:pPr>
              <w:widowControl/>
              <w:jc w:val="left"/>
              <w:rPr>
                <w:rFonts w:ascii="Times New Roman" w:hAnsi="Times New Roman" w:eastAsia="仿宋_GB2312" w:cs="仿宋_GB2312"/>
                <w:kern w:val="0"/>
                <w:sz w:val="18"/>
                <w:szCs w:val="18"/>
              </w:rPr>
            </w:pPr>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曾公—桥头重点防治区</w:t>
            </w:r>
          </w:p>
          <w:p>
            <w:pPr>
              <w:widowControl/>
              <w:jc w:val="center"/>
              <w:rPr>
                <w:rFonts w:ascii="Times New Roman" w:hAnsi="Times New Roman" w:eastAsia="仿宋_GB2312" w:cs="仿宋_GB2312"/>
                <w:kern w:val="0"/>
                <w:szCs w:val="21"/>
              </w:rPr>
            </w:pP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8.75</w:t>
            </w:r>
          </w:p>
        </w:tc>
        <w:tc>
          <w:tcPr>
            <w:tcW w:w="23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居民点、河流、乡镇公路</w:t>
            </w:r>
          </w:p>
        </w:tc>
        <w:tc>
          <w:tcPr>
            <w:tcW w:w="2838"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3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资规、建设、交通、水利</w:t>
            </w:r>
          </w:p>
        </w:tc>
      </w:tr>
      <w:tr>
        <w:tblPrEx>
          <w:tblCellMar>
            <w:top w:w="0" w:type="dxa"/>
            <w:left w:w="108" w:type="dxa"/>
            <w:bottom w:w="0" w:type="dxa"/>
            <w:right w:w="108" w:type="dxa"/>
          </w:tblCellMar>
        </w:tblPrEx>
        <w:trPr>
          <w:trHeight w:val="1972" w:hRule="atLeast"/>
        </w:trPr>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6</w:t>
            </w:r>
          </w:p>
        </w:tc>
        <w:tc>
          <w:tcPr>
            <w:tcW w:w="8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sz w:val="18"/>
                <w:szCs w:val="18"/>
              </w:rPr>
            </w:pPr>
            <w:r>
              <w:rPr>
                <w:rFonts w:ascii="Times New Roman" w:hAnsi="Times New Roman" w:eastAsia="仿宋_GB2312" w:cs="仿宋_GB2312"/>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76200</wp:posOffset>
                      </wp:positionV>
                      <wp:extent cx="0" cy="2857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 cy="281808"/>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anchor>
                  </w:drawing>
                </mc:Choice>
                <mc:Fallback>
                  <w:pict>
                    <v:shape id="_x0000_s1026" o:spid="_x0000_s1026" o:spt="202" type="#_x0000_t202" style="position:absolute;left:0pt;margin-left:4.5pt;margin-top:6pt;height:22.5pt;width:0pt;mso-wrap-style:none;z-index:251661312;mso-width-relative:page;mso-height-relative:page;" filled="f" stroked="f" coordsize="21600,21600" o:gfxdata="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m4L9EAAAAFAQAADwAAAAAAAAABACAAAAAiAAAA&#10;ZHJzL2Rvd25yZXYueG1sUEsBAhQAFAAAAAgAh07iQGeIoijVAQAAqQMAAA4AAAAAAAAAAQAgAAAA&#10;IAEAAGRycy9lMm9Eb2MueG1sUEsFBgAAAAAGAAYAWQEAAGcFAAAAAA==&#10;">
                      <v:fill on="f" focussize="0,0"/>
                      <v:stroke on="f"/>
                      <v:imagedata o:title=""/>
                      <o:lock v:ext="edit" aspectratio="f"/>
                      <v:textbox inset="0mm,0mm,0mm,0mm" style="mso-fit-shape-to-text:t;"/>
                    </v:shape>
                  </w:pict>
                </mc:Fallback>
              </mc:AlternateContent>
            </w:r>
            <m:oMath>
              <m:sSub>
                <m:sSubPr>
                  <m:ctrlPr>
                    <w:rPr>
                      <w:rFonts w:hint="eastAsia" w:ascii="Cambria Math" w:hAnsi="Cambria Math" w:eastAsia="仿宋_GB2312" w:cs="仿宋_GB2312"/>
                      <w:i/>
                      <w:sz w:val="32"/>
                      <w:szCs w:val="32"/>
                    </w:rPr>
                  </m:ctrlPr>
                </m:sSubPr>
                <m:e>
                  <m:r>
                    <m:rPr>
                      <m:sty m:val="p"/>
                    </m:rPr>
                    <w:rPr>
                      <w:rFonts w:hint="eastAsia" w:ascii="Cambria Math" w:hAnsi="Cambria Math" w:eastAsia="仿宋_GB2312" w:cs="仿宋_GB2312"/>
                      <w:sz w:val="32"/>
                      <w:szCs w:val="32"/>
                    </w:rPr>
                    <m:t>Ⅱ</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1</m:t>
                  </m:r>
                  <m:ctrlPr>
                    <w:rPr>
                      <w:rFonts w:hint="eastAsia" w:ascii="Cambria Math" w:hAnsi="Cambria Math" w:eastAsia="仿宋_GB2312" w:cs="仿宋_GB2312"/>
                      <w:i/>
                      <w:sz w:val="32"/>
                      <w:szCs w:val="32"/>
                    </w:rPr>
                  </m:ctrlPr>
                </m:sub>
              </m:sSub>
            </m:oMath>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河山—两头门次重点防治区次重点防治区</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23.72</w:t>
            </w:r>
          </w:p>
        </w:tc>
        <w:tc>
          <w:tcPr>
            <w:tcW w:w="23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居民点、乡镇公路</w:t>
            </w:r>
          </w:p>
        </w:tc>
        <w:tc>
          <w:tcPr>
            <w:tcW w:w="28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r>
              <w:rPr>
                <w:rFonts w:ascii="Times New Roman" w:hAnsi="Times New Roman" w:eastAsia="仿宋_GB2312" w:cs="仿宋_GB2312"/>
                <w:kern w:val="0"/>
                <w:szCs w:val="21"/>
              </w:rPr>
              <w:t>1</w:t>
            </w:r>
            <w:r>
              <w:rPr>
                <w:rFonts w:hint="eastAsia" w:ascii="Times New Roman" w:hAnsi="Times New Roman" w:eastAsia="仿宋_GB2312" w:cs="仿宋_GB2312"/>
                <w:kern w:val="0"/>
                <w:szCs w:val="21"/>
              </w:rPr>
              <w:t>、群测群防；</w:t>
            </w:r>
            <w:r>
              <w:rPr>
                <w:rFonts w:ascii="Times New Roman" w:hAnsi="Times New Roman" w:eastAsia="仿宋_GB2312" w:cs="仿宋_GB2312"/>
                <w:kern w:val="0"/>
                <w:szCs w:val="21"/>
              </w:rPr>
              <w:t>2</w:t>
            </w:r>
            <w:r>
              <w:rPr>
                <w:rFonts w:hint="eastAsia" w:ascii="Times New Roman" w:hAnsi="Times New Roman" w:eastAsia="仿宋_GB2312" w:cs="仿宋_GB2312"/>
                <w:kern w:val="0"/>
                <w:szCs w:val="21"/>
              </w:rPr>
              <w:t>、进一步提升地质灾害监测预警准确度和速度；</w:t>
            </w:r>
            <w:r>
              <w:rPr>
                <w:rFonts w:ascii="Times New Roman" w:hAnsi="Times New Roman" w:eastAsia="仿宋_GB2312" w:cs="仿宋_GB2312"/>
                <w:kern w:val="0"/>
                <w:szCs w:val="21"/>
              </w:rPr>
              <w:t>3</w:t>
            </w:r>
            <w:r>
              <w:rPr>
                <w:rFonts w:hint="eastAsia" w:ascii="Times New Roman" w:hAnsi="Times New Roman" w:eastAsia="仿宋_GB2312" w:cs="仿宋_GB2312"/>
                <w:kern w:val="0"/>
                <w:szCs w:val="21"/>
              </w:rPr>
              <w:t>、对地质灾害易发区内的学校、集镇、旅游景点、村庄等人口集聚区，以及交通沿线、重要基础设施、低丘缓坡开发区等开展地质灾害隐患排查，对已知的隐患点和重点巡查区则在每年汛期前进行现场排查、汛期中巡查、汛后核查，全面掌控地质灾害隐患点变化情况，对可能产生地质灾害的点及时发出预警组织防治措施；</w:t>
            </w:r>
            <w:r>
              <w:rPr>
                <w:rFonts w:ascii="Times New Roman" w:hAnsi="Times New Roman" w:eastAsia="仿宋_GB2312" w:cs="仿宋_GB2312"/>
                <w:kern w:val="0"/>
                <w:szCs w:val="21"/>
              </w:rPr>
              <w:t>4</w:t>
            </w:r>
            <w:r>
              <w:rPr>
                <w:rFonts w:hint="eastAsia" w:ascii="Times New Roman" w:hAnsi="Times New Roman" w:eastAsia="仿宋_GB2312" w:cs="仿宋_GB2312"/>
                <w:kern w:val="0"/>
                <w:szCs w:val="21"/>
              </w:rPr>
              <w:t>、规范人类工程活动，有效避免人为引发地质灾害。</w:t>
            </w:r>
            <w:r>
              <w:rPr>
                <w:rFonts w:ascii="Times New Roman" w:hAnsi="Times New Roman" w:eastAsia="仿宋_GB2312" w:cs="仿宋_GB2312"/>
                <w:kern w:val="0"/>
                <w:szCs w:val="21"/>
              </w:rPr>
              <w:t xml:space="preserve">     </w:t>
            </w: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p>
          <w:p>
            <w:pPr>
              <w:widowControl/>
              <w:jc w:val="left"/>
              <w:rPr>
                <w:rFonts w:ascii="Times New Roman" w:hAnsi="Times New Roman" w:eastAsia="仿宋_GB2312" w:cs="仿宋_GB2312"/>
                <w:kern w:val="0"/>
                <w:szCs w:val="21"/>
              </w:rPr>
            </w:pPr>
            <w:r>
              <w:rPr>
                <w:rFonts w:ascii="Times New Roman" w:hAnsi="Times New Roman" w:eastAsia="仿宋_GB2312" w:cs="仿宋_GB2312"/>
                <w:kern w:val="0"/>
                <w:szCs w:val="21"/>
              </w:rPr>
              <w:t>1</w:t>
            </w:r>
            <w:r>
              <w:rPr>
                <w:rFonts w:hint="eastAsia" w:ascii="Times New Roman" w:hAnsi="Times New Roman" w:eastAsia="仿宋_GB2312" w:cs="仿宋_GB2312"/>
                <w:kern w:val="0"/>
                <w:szCs w:val="21"/>
              </w:rPr>
              <w:t>、群测群防；</w:t>
            </w:r>
            <w:r>
              <w:rPr>
                <w:rFonts w:ascii="Times New Roman" w:hAnsi="Times New Roman" w:eastAsia="仿宋_GB2312" w:cs="仿宋_GB2312"/>
                <w:kern w:val="0"/>
                <w:szCs w:val="21"/>
              </w:rPr>
              <w:t>2</w:t>
            </w:r>
            <w:r>
              <w:rPr>
                <w:rFonts w:hint="eastAsia" w:ascii="Times New Roman" w:hAnsi="Times New Roman" w:eastAsia="仿宋_GB2312" w:cs="仿宋_GB2312"/>
                <w:kern w:val="0"/>
                <w:szCs w:val="21"/>
              </w:rPr>
              <w:t>、进一步提升地质灾害监测预警准确度和速度；</w:t>
            </w:r>
            <w:r>
              <w:rPr>
                <w:rFonts w:ascii="Times New Roman" w:hAnsi="Times New Roman" w:eastAsia="仿宋_GB2312" w:cs="仿宋_GB2312"/>
                <w:kern w:val="0"/>
                <w:szCs w:val="21"/>
              </w:rPr>
              <w:t>3</w:t>
            </w:r>
            <w:r>
              <w:rPr>
                <w:rFonts w:hint="eastAsia" w:ascii="Times New Roman" w:hAnsi="Times New Roman" w:eastAsia="仿宋_GB2312" w:cs="仿宋_GB2312"/>
                <w:kern w:val="0"/>
                <w:szCs w:val="21"/>
              </w:rPr>
              <w:t>、对地质灾害易发区内的学校、集镇、旅游景点、村庄等人口集聚区，以及交通沿线、重要基础设施、低丘缓坡开发区等开展地质灾害隐患排查，对已知的隐患点和重点巡查区则在每年汛期前进行现场排查、汛期中巡查、汛后核查，全面掌控地质灾害隐患点变化情况，对可能产生地质灾害的点及时发出预警组织防治措施；</w:t>
            </w:r>
            <w:r>
              <w:rPr>
                <w:rFonts w:ascii="Times New Roman" w:hAnsi="Times New Roman" w:eastAsia="仿宋_GB2312" w:cs="仿宋_GB2312"/>
                <w:kern w:val="0"/>
                <w:szCs w:val="21"/>
              </w:rPr>
              <w:t>4</w:t>
            </w:r>
            <w:r>
              <w:rPr>
                <w:rFonts w:hint="eastAsia" w:ascii="Times New Roman" w:hAnsi="Times New Roman" w:eastAsia="仿宋_GB2312" w:cs="仿宋_GB2312"/>
                <w:kern w:val="0"/>
                <w:szCs w:val="21"/>
              </w:rPr>
              <w:t>、规范人类工程活动，有效避免人为引发地质灾害。</w:t>
            </w:r>
          </w:p>
        </w:tc>
        <w:tc>
          <w:tcPr>
            <w:tcW w:w="3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资规、建设、交通</w:t>
            </w:r>
          </w:p>
        </w:tc>
      </w:tr>
      <w:tr>
        <w:tblPrEx>
          <w:tblCellMar>
            <w:top w:w="0" w:type="dxa"/>
            <w:left w:w="108" w:type="dxa"/>
            <w:bottom w:w="0" w:type="dxa"/>
            <w:right w:w="108" w:type="dxa"/>
          </w:tblCellMar>
        </w:tblPrEx>
        <w:trPr>
          <w:trHeight w:val="1972" w:hRule="atLeast"/>
        </w:trPr>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7</w:t>
            </w:r>
          </w:p>
        </w:tc>
        <w:tc>
          <w:tcPr>
            <w:tcW w:w="8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 w:val="18"/>
                <w:szCs w:val="18"/>
              </w:rPr>
            </w:pPr>
            <m:oMathPara>
              <m:oMath>
                <m:sSub>
                  <m:sSubPr>
                    <m:ctrlPr>
                      <w:rPr>
                        <w:rFonts w:hint="eastAsia" w:ascii="Cambria Math" w:hAnsi="Cambria Math" w:eastAsia="仿宋_GB2312" w:cs="仿宋_GB2312"/>
                        <w:i/>
                        <w:sz w:val="32"/>
                        <w:szCs w:val="32"/>
                      </w:rPr>
                    </m:ctrlPr>
                  </m:sSubPr>
                  <m:e>
                    <m:r>
                      <m:rPr>
                        <m:sty m:val="p"/>
                      </m:rPr>
                      <w:rPr>
                        <w:rFonts w:hint="eastAsia" w:ascii="Cambria Math" w:hAnsi="Cambria Math" w:eastAsia="仿宋_GB2312" w:cs="仿宋_GB2312"/>
                        <w:sz w:val="32"/>
                        <w:szCs w:val="32"/>
                      </w:rPr>
                      <m:t>Ⅱ</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2</m:t>
                    </m:r>
                    <m:ctrlPr>
                      <w:rPr>
                        <w:rFonts w:hint="eastAsia" w:ascii="Cambria Math" w:hAnsi="Cambria Math" w:eastAsia="仿宋_GB2312" w:cs="仿宋_GB2312"/>
                        <w:i/>
                        <w:sz w:val="32"/>
                        <w:szCs w:val="32"/>
                      </w:rPr>
                    </m:ctrlPr>
                  </m:sub>
                </m:sSub>
              </m:oMath>
            </m:oMathPara>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松源—草马湖次重点防治分区</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12.25</w:t>
            </w:r>
          </w:p>
        </w:tc>
        <w:tc>
          <w:tcPr>
            <w:tcW w:w="23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居民点、学校、水库及公路</w:t>
            </w:r>
          </w:p>
        </w:tc>
        <w:tc>
          <w:tcPr>
            <w:tcW w:w="28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3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资规、建设、教育、交通、水利</w:t>
            </w:r>
          </w:p>
        </w:tc>
      </w:tr>
      <w:tr>
        <w:tblPrEx>
          <w:tblCellMar>
            <w:top w:w="0" w:type="dxa"/>
            <w:left w:w="108" w:type="dxa"/>
            <w:bottom w:w="0" w:type="dxa"/>
            <w:right w:w="108" w:type="dxa"/>
          </w:tblCellMar>
        </w:tblPrEx>
        <w:trPr>
          <w:trHeight w:val="1972" w:hRule="atLeast"/>
        </w:trPr>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8</w:t>
            </w:r>
          </w:p>
        </w:tc>
        <w:tc>
          <w:tcPr>
            <w:tcW w:w="8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 w:val="18"/>
                <w:szCs w:val="18"/>
              </w:rPr>
            </w:pPr>
            <m:oMathPara>
              <m:oMath>
                <m:sSub>
                  <m:sSubPr>
                    <m:ctrlPr>
                      <w:rPr>
                        <w:rFonts w:hint="eastAsia" w:ascii="Cambria Math" w:hAnsi="Cambria Math" w:eastAsia="仿宋_GB2312" w:cs="仿宋_GB2312"/>
                        <w:i/>
                        <w:sz w:val="32"/>
                        <w:szCs w:val="32"/>
                      </w:rPr>
                    </m:ctrlPr>
                  </m:sSubPr>
                  <m:e>
                    <m:r>
                      <m:rPr>
                        <m:sty m:val="p"/>
                      </m:rPr>
                      <w:rPr>
                        <w:rFonts w:hint="eastAsia" w:ascii="Cambria Math" w:hAnsi="Cambria Math" w:eastAsia="仿宋_GB2312" w:cs="仿宋_GB2312"/>
                        <w:sz w:val="32"/>
                        <w:szCs w:val="32"/>
                      </w:rPr>
                      <m:t>Ⅱ</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3</m:t>
                    </m:r>
                    <m:ctrlPr>
                      <w:rPr>
                        <w:rFonts w:hint="eastAsia" w:ascii="Cambria Math" w:hAnsi="Cambria Math" w:eastAsia="仿宋_GB2312" w:cs="仿宋_GB2312"/>
                        <w:i/>
                        <w:sz w:val="32"/>
                        <w:szCs w:val="32"/>
                      </w:rPr>
                    </m:ctrlPr>
                  </m:sub>
                </m:sSub>
              </m:oMath>
            </m:oMathPara>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王村—杨家—深塘次重点防治区</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24.70</w:t>
            </w:r>
          </w:p>
        </w:tc>
        <w:tc>
          <w:tcPr>
            <w:tcW w:w="23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居民点、乡镇公路</w:t>
            </w:r>
          </w:p>
        </w:tc>
        <w:tc>
          <w:tcPr>
            <w:tcW w:w="28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3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资规、建设、交通</w:t>
            </w:r>
          </w:p>
        </w:tc>
      </w:tr>
      <w:tr>
        <w:tblPrEx>
          <w:tblCellMar>
            <w:top w:w="0" w:type="dxa"/>
            <w:left w:w="108" w:type="dxa"/>
            <w:bottom w:w="0" w:type="dxa"/>
            <w:right w:w="108" w:type="dxa"/>
          </w:tblCellMar>
        </w:tblPrEx>
        <w:trPr>
          <w:trHeight w:val="1972" w:hRule="atLeast"/>
        </w:trPr>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9</w:t>
            </w:r>
          </w:p>
        </w:tc>
        <w:tc>
          <w:tcPr>
            <w:tcW w:w="8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 w:val="18"/>
                <w:szCs w:val="18"/>
              </w:rPr>
            </w:pPr>
            <m:oMathPara>
              <m:oMath>
                <m:sSub>
                  <m:sSubPr>
                    <m:ctrlPr>
                      <w:rPr>
                        <w:rFonts w:hint="eastAsia" w:ascii="Cambria Math" w:hAnsi="Cambria Math" w:eastAsia="仿宋_GB2312" w:cs="仿宋_GB2312"/>
                        <w:i/>
                        <w:sz w:val="32"/>
                        <w:szCs w:val="32"/>
                      </w:rPr>
                    </m:ctrlPr>
                  </m:sSubPr>
                  <m:e>
                    <m:r>
                      <m:rPr>
                        <m:sty m:val="p"/>
                      </m:rPr>
                      <w:rPr>
                        <w:rFonts w:hint="eastAsia" w:ascii="Cambria Math" w:hAnsi="Cambria Math" w:eastAsia="仿宋_GB2312" w:cs="仿宋_GB2312"/>
                        <w:sz w:val="32"/>
                        <w:szCs w:val="32"/>
                      </w:rPr>
                      <m:t>Ⅱ</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4</m:t>
                    </m:r>
                    <m:ctrlPr>
                      <w:rPr>
                        <w:rFonts w:hint="eastAsia" w:ascii="Cambria Math" w:hAnsi="Cambria Math" w:eastAsia="仿宋_GB2312" w:cs="仿宋_GB2312"/>
                        <w:i/>
                        <w:sz w:val="32"/>
                        <w:szCs w:val="32"/>
                      </w:rPr>
                    </m:ctrlPr>
                  </m:sub>
                </m:sSub>
              </m:oMath>
            </m:oMathPara>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黄斜—九龙新村—上坦岭头次重点防治区</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55.69</w:t>
            </w:r>
          </w:p>
        </w:tc>
        <w:tc>
          <w:tcPr>
            <w:tcW w:w="23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居民点、学校、水库及公路</w:t>
            </w:r>
          </w:p>
        </w:tc>
        <w:tc>
          <w:tcPr>
            <w:tcW w:w="28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3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资规、建设、教育、交通、水利</w:t>
            </w:r>
          </w:p>
        </w:tc>
      </w:tr>
      <w:tr>
        <w:tblPrEx>
          <w:tblCellMar>
            <w:top w:w="0" w:type="dxa"/>
            <w:left w:w="108" w:type="dxa"/>
            <w:bottom w:w="0" w:type="dxa"/>
            <w:right w:w="108" w:type="dxa"/>
          </w:tblCellMar>
        </w:tblPrEx>
        <w:trPr>
          <w:trHeight w:val="1972" w:hRule="atLeast"/>
        </w:trPr>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10</w:t>
            </w:r>
          </w:p>
        </w:tc>
        <w:tc>
          <w:tcPr>
            <w:tcW w:w="8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 w:val="18"/>
                <w:szCs w:val="18"/>
              </w:rPr>
            </w:pPr>
            <m:oMathPara>
              <m:oMath>
                <m:sSub>
                  <m:sSubPr>
                    <m:ctrlPr>
                      <w:rPr>
                        <w:rFonts w:hint="eastAsia" w:ascii="Cambria Math" w:hAnsi="Cambria Math" w:eastAsia="仿宋_GB2312" w:cs="仿宋_GB2312"/>
                        <w:i/>
                        <w:sz w:val="32"/>
                        <w:szCs w:val="32"/>
                      </w:rPr>
                    </m:ctrlPr>
                  </m:sSubPr>
                  <m:e>
                    <m:r>
                      <m:rPr>
                        <m:sty m:val="p"/>
                      </m:rPr>
                      <w:rPr>
                        <w:rFonts w:hint="eastAsia" w:ascii="Cambria Math" w:hAnsi="Cambria Math" w:eastAsia="仿宋_GB2312" w:cs="仿宋_GB2312"/>
                        <w:sz w:val="32"/>
                        <w:szCs w:val="32"/>
                      </w:rPr>
                      <m:t>Ⅱ</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5</m:t>
                    </m:r>
                    <m:ctrlPr>
                      <w:rPr>
                        <w:rFonts w:hint="eastAsia" w:ascii="Cambria Math" w:hAnsi="Cambria Math" w:eastAsia="仿宋_GB2312" w:cs="仿宋_GB2312"/>
                        <w:i/>
                        <w:sz w:val="32"/>
                        <w:szCs w:val="32"/>
                      </w:rPr>
                    </m:ctrlPr>
                  </m:sub>
                </m:sSub>
              </m:oMath>
            </m:oMathPara>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派塘—瓦窑头次重点防治分区</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9.82</w:t>
            </w:r>
          </w:p>
        </w:tc>
        <w:tc>
          <w:tcPr>
            <w:tcW w:w="23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居民点、水库、乡镇公路</w:t>
            </w:r>
          </w:p>
        </w:tc>
        <w:tc>
          <w:tcPr>
            <w:tcW w:w="28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3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资规、建设、交通、水利</w:t>
            </w:r>
          </w:p>
        </w:tc>
      </w:tr>
      <w:tr>
        <w:tblPrEx>
          <w:tblCellMar>
            <w:top w:w="0" w:type="dxa"/>
            <w:left w:w="108" w:type="dxa"/>
            <w:bottom w:w="0" w:type="dxa"/>
            <w:right w:w="108" w:type="dxa"/>
          </w:tblCellMar>
        </w:tblPrEx>
        <w:trPr>
          <w:trHeight w:val="1972" w:hRule="atLeast"/>
        </w:trPr>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11</w:t>
            </w:r>
          </w:p>
        </w:tc>
        <w:tc>
          <w:tcPr>
            <w:tcW w:w="8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 w:val="18"/>
                <w:szCs w:val="18"/>
              </w:rPr>
            </w:pPr>
            <m:oMathPara>
              <m:oMath>
                <m:sSub>
                  <m:sSubPr>
                    <m:ctrlPr>
                      <w:rPr>
                        <w:rFonts w:hint="eastAsia" w:ascii="Cambria Math" w:hAnsi="Cambria Math" w:eastAsia="仿宋_GB2312" w:cs="仿宋_GB2312"/>
                        <w:i/>
                        <w:sz w:val="32"/>
                        <w:szCs w:val="32"/>
                      </w:rPr>
                    </m:ctrlPr>
                  </m:sSubPr>
                  <m:e>
                    <m:r>
                      <m:rPr>
                        <m:sty m:val="p"/>
                      </m:rPr>
                      <w:rPr>
                        <w:rFonts w:hint="eastAsia" w:ascii="Cambria Math" w:hAnsi="Cambria Math" w:eastAsia="仿宋_GB2312" w:cs="仿宋_GB2312"/>
                        <w:sz w:val="32"/>
                        <w:szCs w:val="32"/>
                      </w:rPr>
                      <m:t>Ⅱ</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6</m:t>
                    </m:r>
                    <m:ctrlPr>
                      <w:rPr>
                        <w:rFonts w:hint="eastAsia" w:ascii="Cambria Math" w:hAnsi="Cambria Math" w:eastAsia="仿宋_GB2312" w:cs="仿宋_GB2312"/>
                        <w:i/>
                        <w:sz w:val="32"/>
                        <w:szCs w:val="32"/>
                      </w:rPr>
                    </m:ctrlPr>
                  </m:sub>
                </m:sSub>
              </m:oMath>
            </m:oMathPara>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仓部圳—仙溪—库坑次重点防治区</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35.11</w:t>
            </w:r>
          </w:p>
        </w:tc>
        <w:tc>
          <w:tcPr>
            <w:tcW w:w="23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居民点、学校、乡镇公路</w:t>
            </w:r>
          </w:p>
        </w:tc>
        <w:tc>
          <w:tcPr>
            <w:tcW w:w="28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3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资规、建设、教育、交通</w:t>
            </w:r>
          </w:p>
        </w:tc>
      </w:tr>
      <w:tr>
        <w:tblPrEx>
          <w:tblCellMar>
            <w:top w:w="0" w:type="dxa"/>
            <w:left w:w="108" w:type="dxa"/>
            <w:bottom w:w="0" w:type="dxa"/>
            <w:right w:w="108" w:type="dxa"/>
          </w:tblCellMar>
        </w:tblPrEx>
        <w:trPr>
          <w:trHeight w:val="1972" w:hRule="atLeast"/>
        </w:trPr>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12</w:t>
            </w:r>
          </w:p>
        </w:tc>
        <w:tc>
          <w:tcPr>
            <w:tcW w:w="8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 w:val="18"/>
                <w:szCs w:val="18"/>
              </w:rPr>
            </w:pPr>
            <m:oMathPara>
              <m:oMath>
                <m:sSub>
                  <m:sSubPr>
                    <m:ctrlPr>
                      <w:rPr>
                        <w:rFonts w:hint="eastAsia" w:ascii="Cambria Math" w:hAnsi="Cambria Math" w:eastAsia="仿宋_GB2312" w:cs="仿宋_GB2312"/>
                        <w:i/>
                        <w:sz w:val="32"/>
                        <w:szCs w:val="32"/>
                      </w:rPr>
                    </m:ctrlPr>
                  </m:sSubPr>
                  <m:e>
                    <m:r>
                      <m:rPr>
                        <m:sty m:val="p"/>
                      </m:rPr>
                      <w:rPr>
                        <w:rFonts w:hint="eastAsia" w:ascii="Cambria Math" w:hAnsi="Cambria Math" w:eastAsia="仿宋_GB2312" w:cs="仿宋_GB2312"/>
                        <w:sz w:val="32"/>
                        <w:szCs w:val="32"/>
                      </w:rPr>
                      <m:t>Ⅱ</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7</m:t>
                    </m:r>
                    <m:ctrlPr>
                      <w:rPr>
                        <w:rFonts w:hint="eastAsia" w:ascii="Cambria Math" w:hAnsi="Cambria Math" w:eastAsia="仿宋_GB2312" w:cs="仿宋_GB2312"/>
                        <w:i/>
                        <w:sz w:val="32"/>
                        <w:szCs w:val="32"/>
                      </w:rPr>
                    </m:ctrlPr>
                  </m:sub>
                </m:sSub>
              </m:oMath>
            </m:oMathPara>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景阳—西舒次重点防治区</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15.93</w:t>
            </w:r>
          </w:p>
        </w:tc>
        <w:tc>
          <w:tcPr>
            <w:tcW w:w="23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居民点、学校、水库及公路</w:t>
            </w:r>
          </w:p>
        </w:tc>
        <w:tc>
          <w:tcPr>
            <w:tcW w:w="28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3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资规、建设、教育、交通、水利</w:t>
            </w:r>
          </w:p>
        </w:tc>
      </w:tr>
      <w:tr>
        <w:tblPrEx>
          <w:tblCellMar>
            <w:top w:w="0" w:type="dxa"/>
            <w:left w:w="108" w:type="dxa"/>
            <w:bottom w:w="0" w:type="dxa"/>
            <w:right w:w="108" w:type="dxa"/>
          </w:tblCellMar>
        </w:tblPrEx>
        <w:trPr>
          <w:trHeight w:val="1972" w:hRule="atLeast"/>
        </w:trPr>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13</w:t>
            </w:r>
          </w:p>
        </w:tc>
        <w:tc>
          <w:tcPr>
            <w:tcW w:w="8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 w:val="18"/>
                <w:szCs w:val="18"/>
              </w:rPr>
            </w:pPr>
            <m:oMathPara>
              <m:oMath>
                <m:sSub>
                  <m:sSubPr>
                    <m:ctrlPr>
                      <w:rPr>
                        <w:rFonts w:hint="eastAsia" w:ascii="Cambria Math" w:hAnsi="Cambria Math" w:eastAsia="仿宋_GB2312" w:cs="仿宋_GB2312"/>
                        <w:i/>
                        <w:sz w:val="32"/>
                        <w:szCs w:val="32"/>
                      </w:rPr>
                    </m:ctrlPr>
                  </m:sSubPr>
                  <m:e>
                    <m:r>
                      <m:rPr>
                        <m:sty m:val="p"/>
                      </m:rPr>
                      <w:rPr>
                        <w:rFonts w:hint="eastAsia" w:ascii="Cambria Math" w:hAnsi="Cambria Math" w:eastAsia="仿宋_GB2312" w:cs="仿宋_GB2312"/>
                        <w:sz w:val="32"/>
                        <w:szCs w:val="32"/>
                      </w:rPr>
                      <m:t>Ⅱ</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8</m:t>
                    </m:r>
                    <m:ctrlPr>
                      <w:rPr>
                        <w:rFonts w:hint="eastAsia" w:ascii="Cambria Math" w:hAnsi="Cambria Math" w:eastAsia="仿宋_GB2312" w:cs="仿宋_GB2312"/>
                        <w:i/>
                        <w:sz w:val="32"/>
                        <w:szCs w:val="32"/>
                      </w:rPr>
                    </m:ctrlPr>
                  </m:sub>
                </m:sSub>
              </m:oMath>
            </m:oMathPara>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沿溪口—车昌次重点防治区</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31.45</w:t>
            </w:r>
          </w:p>
        </w:tc>
        <w:tc>
          <w:tcPr>
            <w:tcW w:w="23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居民点、河流、乡镇公路、学校</w:t>
            </w:r>
          </w:p>
        </w:tc>
        <w:tc>
          <w:tcPr>
            <w:tcW w:w="28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3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资规、建设、交通、水利、教育</w:t>
            </w:r>
          </w:p>
        </w:tc>
      </w:tr>
      <w:tr>
        <w:tblPrEx>
          <w:tblCellMar>
            <w:top w:w="0" w:type="dxa"/>
            <w:left w:w="108" w:type="dxa"/>
            <w:bottom w:w="0" w:type="dxa"/>
            <w:right w:w="108" w:type="dxa"/>
          </w:tblCellMar>
        </w:tblPrEx>
        <w:trPr>
          <w:trHeight w:val="1972" w:hRule="atLeast"/>
        </w:trPr>
        <w:tc>
          <w:tcPr>
            <w:tcW w:w="6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14</w:t>
            </w:r>
          </w:p>
        </w:tc>
        <w:tc>
          <w:tcPr>
            <w:tcW w:w="8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 w:val="18"/>
                <w:szCs w:val="18"/>
              </w:rPr>
            </w:pPr>
            <m:oMathPara>
              <m:oMath>
                <m:sSub>
                  <m:sSubPr>
                    <m:ctrlPr>
                      <w:rPr>
                        <w:rFonts w:hint="eastAsia" w:ascii="Cambria Math" w:hAnsi="Cambria Math" w:eastAsia="仿宋_GB2312" w:cs="仿宋_GB2312"/>
                        <w:i/>
                        <w:sz w:val="32"/>
                        <w:szCs w:val="32"/>
                      </w:rPr>
                    </m:ctrlPr>
                  </m:sSubPr>
                  <m:e>
                    <m:r>
                      <m:rPr>
                        <m:sty m:val="p"/>
                      </m:rPr>
                      <w:rPr>
                        <w:rFonts w:hint="eastAsia" w:ascii="Cambria Math" w:hAnsi="Cambria Math" w:eastAsia="仿宋_GB2312" w:cs="仿宋_GB2312"/>
                        <w:sz w:val="32"/>
                        <w:szCs w:val="32"/>
                      </w:rPr>
                      <m:t>Ⅱ</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9</m:t>
                    </m:r>
                    <m:ctrlPr>
                      <w:rPr>
                        <w:rFonts w:hint="eastAsia" w:ascii="Cambria Math" w:hAnsi="Cambria Math" w:eastAsia="仿宋_GB2312" w:cs="仿宋_GB2312"/>
                        <w:i/>
                        <w:sz w:val="32"/>
                        <w:szCs w:val="32"/>
                      </w:rPr>
                    </m:ctrlPr>
                  </m:sub>
                </m:sSub>
              </m:oMath>
            </m:oMathPara>
          </w:p>
        </w:tc>
        <w:tc>
          <w:tcPr>
            <w:tcW w:w="25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后包村</w:t>
            </w:r>
            <w:r>
              <w:rPr>
                <w:rFonts w:ascii="Times New Roman" w:hAnsi="Times New Roman" w:eastAsia="仿宋_GB2312" w:cs="仿宋_GB2312"/>
                <w:kern w:val="0"/>
                <w:szCs w:val="21"/>
              </w:rPr>
              <w:t>-</w:t>
            </w:r>
            <w:r>
              <w:rPr>
                <w:rFonts w:hint="eastAsia" w:ascii="Times New Roman" w:hAnsi="Times New Roman" w:eastAsia="仿宋_GB2312" w:cs="仿宋_GB2312"/>
                <w:kern w:val="0"/>
                <w:szCs w:val="21"/>
              </w:rPr>
              <w:t>法洪坑次重点防治区</w:t>
            </w:r>
          </w:p>
        </w:tc>
        <w:tc>
          <w:tcPr>
            <w:tcW w:w="12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10.29</w:t>
            </w:r>
          </w:p>
        </w:tc>
        <w:tc>
          <w:tcPr>
            <w:tcW w:w="23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居民点、学校、公路</w:t>
            </w:r>
          </w:p>
        </w:tc>
        <w:tc>
          <w:tcPr>
            <w:tcW w:w="28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3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资规、建设、交通、教育</w:t>
            </w:r>
          </w:p>
        </w:tc>
      </w:tr>
      <w:tr>
        <w:tblPrEx>
          <w:tblCellMar>
            <w:top w:w="0" w:type="dxa"/>
            <w:left w:w="108" w:type="dxa"/>
            <w:bottom w:w="0" w:type="dxa"/>
            <w:right w:w="108" w:type="dxa"/>
          </w:tblCellMar>
        </w:tblPrEx>
        <w:trPr>
          <w:trHeight w:val="2089"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15</w:t>
            </w:r>
          </w:p>
        </w:tc>
        <w:tc>
          <w:tcPr>
            <w:tcW w:w="809" w:type="dxa"/>
            <w:tcBorders>
              <w:top w:val="nil"/>
              <w:left w:val="nil"/>
              <w:bottom w:val="single" w:color="auto" w:sz="4" w:space="0"/>
              <w:right w:val="single" w:color="auto" w:sz="4" w:space="0"/>
            </w:tcBorders>
            <w:shd w:val="clear" w:color="auto" w:fill="auto"/>
            <w:vAlign w:val="center"/>
          </w:tcPr>
          <w:p>
            <w:pPr>
              <w:rPr>
                <w:rFonts w:ascii="Times New Roman" w:hAnsi="Times New Roman" w:eastAsia="仿宋_GB2312" w:cs="仿宋_GB2312"/>
                <w:sz w:val="18"/>
                <w:szCs w:val="18"/>
              </w:rPr>
            </w:pPr>
            <m:oMath>
              <m:sSub>
                <m:sSubPr>
                  <m:ctrlPr>
                    <w:rPr>
                      <w:rFonts w:hint="eastAsia" w:ascii="Cambria Math" w:hAnsi="Cambria Math" w:eastAsia="仿宋_GB2312" w:cs="仿宋_GB2312"/>
                      <w:i/>
                      <w:sz w:val="32"/>
                      <w:szCs w:val="32"/>
                    </w:rPr>
                  </m:ctrlPr>
                </m:sSubPr>
                <m:e>
                  <m:r>
                    <m:rPr>
                      <m:sty m:val="p"/>
                    </m:rPr>
                    <w:rPr>
                      <w:rFonts w:hint="eastAsia" w:ascii="Cambria Math" w:hAnsi="Cambria Math" w:eastAsia="仿宋_GB2312" w:cs="仿宋_GB2312"/>
                      <w:sz w:val="32"/>
                      <w:szCs w:val="32"/>
                    </w:rPr>
                    <m:t>Ⅱ</m:t>
                  </m:r>
                  <m:ctrlPr>
                    <w:rPr>
                      <w:rFonts w:hint="eastAsia" w:ascii="Cambria Math" w:hAnsi="Cambria Math" w:eastAsia="仿宋_GB2312" w:cs="仿宋_GB2312"/>
                      <w:i/>
                      <w:sz w:val="32"/>
                      <w:szCs w:val="32"/>
                    </w:rPr>
                  </m:ctrlPr>
                </m:e>
                <m:sub>
                  <m:r>
                    <m:rPr/>
                    <w:rPr>
                      <w:rFonts w:hint="eastAsia" w:ascii="Cambria Math" w:hAnsi="Cambria Math" w:eastAsia="仿宋_GB2312" w:cs="仿宋_GB2312"/>
                      <w:sz w:val="32"/>
                      <w:szCs w:val="32"/>
                    </w:rPr>
                    <m:t>10</m:t>
                  </m:r>
                  <m:ctrlPr>
                    <w:rPr>
                      <w:rFonts w:hint="eastAsia" w:ascii="Cambria Math" w:hAnsi="Cambria Math" w:eastAsia="仿宋_GB2312" w:cs="仿宋_GB2312"/>
                      <w:i/>
                      <w:sz w:val="32"/>
                      <w:szCs w:val="32"/>
                    </w:rPr>
                  </m:ctrlPr>
                </m:sub>
              </m:sSub>
            </m:oMath>
            <w:r>
              <w:rPr>
                <w:rFonts w:ascii="Times New Roman" w:hAnsi="Times New Roman" w:eastAsia="仿宋_GB2312" w:cs="仿宋_GB2312"/>
                <w:kern w:val="0"/>
                <w:sz w:val="18"/>
                <w:szCs w:val="18"/>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57150</wp:posOffset>
                      </wp:positionV>
                      <wp:extent cx="0" cy="2857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5" cy="281808"/>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anchor>
                  </w:drawing>
                </mc:Choice>
                <mc:Fallback>
                  <w:pict>
                    <v:shape id="_x0000_s1026" o:spid="_x0000_s1026" o:spt="202" type="#_x0000_t202" style="position:absolute;left:0pt;margin-left:4.5pt;margin-top:4.5pt;height:22.5pt;width:0pt;mso-wrap-style:none;z-index:251662336;mso-width-relative:page;mso-height-relative:page;" filled="f" stroked="f" coordsize="21600,21600" o:gfxdata="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&#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xNOLh0AAAAAQBAAAPAAAAAAAAAAEAIAAAACIAAABk&#10;cnMvZG93bnJldi54bWxQSwECFAAUAAAACACHTuJA93mCadUBAACpAwAADgAAAAAAAAABACAAAAAf&#10;AQAAZHJzL2Uyb0RvYy54bWxQSwUGAAAAAAYABgBZAQAAZgUAAAAA&#10;">
                      <v:fill on="f" focussize="0,0"/>
                      <v:stroke on="f"/>
                      <v:imagedata o:title=""/>
                      <o:lock v:ext="edit" aspectratio="f"/>
                      <v:textbox inset="0mm,0mm,0mm,0mm" style="mso-fit-shape-to-text:t;"/>
                    </v:shape>
                  </w:pict>
                </mc:Fallback>
              </mc:AlternateContent>
            </w:r>
          </w:p>
        </w:tc>
        <w:tc>
          <w:tcPr>
            <w:tcW w:w="252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溪口</w:t>
            </w:r>
            <w:r>
              <w:rPr>
                <w:rFonts w:ascii="Times New Roman" w:hAnsi="Times New Roman" w:eastAsia="仿宋_GB2312" w:cs="仿宋_GB2312"/>
                <w:kern w:val="0"/>
                <w:szCs w:val="21"/>
              </w:rPr>
              <w:t>-</w:t>
            </w:r>
            <w:r>
              <w:rPr>
                <w:rFonts w:hint="eastAsia" w:ascii="Times New Roman" w:hAnsi="Times New Roman" w:eastAsia="仿宋_GB2312" w:cs="仿宋_GB2312"/>
                <w:kern w:val="0"/>
                <w:szCs w:val="21"/>
              </w:rPr>
              <w:t>汤山次重点防治区</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36.89</w:t>
            </w:r>
          </w:p>
        </w:tc>
        <w:tc>
          <w:tcPr>
            <w:tcW w:w="23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居民点、学校、水库及公路</w:t>
            </w:r>
          </w:p>
        </w:tc>
        <w:tc>
          <w:tcPr>
            <w:tcW w:w="283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kern w:val="0"/>
                <w:szCs w:val="21"/>
              </w:rPr>
            </w:pPr>
          </w:p>
        </w:tc>
        <w:tc>
          <w:tcPr>
            <w:tcW w:w="35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资规、建设、教育、交通、水利</w:t>
            </w:r>
          </w:p>
        </w:tc>
      </w:tr>
      <w:tr>
        <w:tblPrEx>
          <w:tblCellMar>
            <w:top w:w="0" w:type="dxa"/>
            <w:left w:w="108" w:type="dxa"/>
            <w:bottom w:w="0" w:type="dxa"/>
            <w:right w:w="108" w:type="dxa"/>
          </w:tblCellMar>
        </w:tblPrEx>
        <w:trPr>
          <w:trHeight w:val="2963" w:hRule="atLeast"/>
        </w:trPr>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16</w:t>
            </w:r>
          </w:p>
        </w:tc>
        <w:tc>
          <w:tcPr>
            <w:tcW w:w="80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仿宋_GB2312" w:cs="仿宋_GB2312"/>
                <w:b/>
                <w:bCs/>
                <w:kern w:val="0"/>
                <w:sz w:val="18"/>
                <w:szCs w:val="18"/>
              </w:rPr>
            </w:pPr>
            <w:r>
              <w:rPr>
                <w:rFonts w:hint="eastAsia" w:ascii="Times New Roman" w:hAnsi="Times New Roman" w:eastAsia="仿宋_GB2312" w:cs="仿宋_GB2312"/>
                <w:sz w:val="32"/>
                <w:szCs w:val="32"/>
              </w:rPr>
              <w:t>Ⅲ</w:t>
            </w:r>
          </w:p>
        </w:tc>
        <w:tc>
          <w:tcPr>
            <w:tcW w:w="252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r>
              <w:rPr>
                <w:rFonts w:hint="eastAsia" w:ascii="Times New Roman" w:hAnsi="Times New Roman" w:eastAsia="仿宋_GB2312"/>
                <w:szCs w:val="21"/>
              </w:rPr>
              <w:t>除重点、次重点防治区以外的区域</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Times New Roman"/>
                <w:szCs w:val="21"/>
              </w:rPr>
              <w:t>1257.18</w:t>
            </w:r>
          </w:p>
        </w:tc>
        <w:tc>
          <w:tcPr>
            <w:tcW w:w="23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szCs w:val="21"/>
              </w:rPr>
              <w:t>居民点、学校、水库、旅游景区及公路</w:t>
            </w:r>
          </w:p>
        </w:tc>
        <w:tc>
          <w:tcPr>
            <w:tcW w:w="283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r>
              <w:rPr>
                <w:rFonts w:ascii="Times New Roman" w:hAnsi="Times New Roman" w:eastAsia="仿宋_GB2312"/>
                <w:szCs w:val="21"/>
              </w:rPr>
              <w:t>1</w:t>
            </w:r>
            <w:r>
              <w:rPr>
                <w:rFonts w:hint="eastAsia" w:ascii="Times New Roman" w:hAnsi="Times New Roman" w:eastAsia="仿宋_GB2312"/>
                <w:szCs w:val="21"/>
              </w:rPr>
              <w:t>、加强汛期及强降雨等时段的地质灾害防御工作；</w:t>
            </w:r>
            <w:r>
              <w:rPr>
                <w:rFonts w:ascii="Times New Roman" w:hAnsi="Times New Roman" w:eastAsia="仿宋_GB2312"/>
                <w:szCs w:val="21"/>
              </w:rPr>
              <w:t>2</w:t>
            </w:r>
            <w:r>
              <w:rPr>
                <w:rFonts w:hint="eastAsia" w:ascii="Times New Roman" w:hAnsi="Times New Roman" w:eastAsia="仿宋_GB2312"/>
                <w:szCs w:val="21"/>
              </w:rPr>
              <w:t>、做好地质灾害点监测预报预警；</w:t>
            </w:r>
            <w:r>
              <w:rPr>
                <w:rFonts w:ascii="Times New Roman" w:hAnsi="Times New Roman" w:eastAsia="仿宋_GB2312"/>
                <w:szCs w:val="21"/>
              </w:rPr>
              <w:t>3</w:t>
            </w:r>
            <w:r>
              <w:rPr>
                <w:rFonts w:hint="eastAsia" w:ascii="Times New Roman" w:hAnsi="Times New Roman" w:eastAsia="仿宋_GB2312"/>
                <w:szCs w:val="21"/>
              </w:rPr>
              <w:t>、认真执行地质灾害危险性评估制度；</w:t>
            </w:r>
            <w:r>
              <w:rPr>
                <w:rFonts w:ascii="Times New Roman" w:hAnsi="Times New Roman" w:eastAsia="仿宋_GB2312"/>
                <w:szCs w:val="21"/>
              </w:rPr>
              <w:t>4</w:t>
            </w:r>
            <w:r>
              <w:rPr>
                <w:rFonts w:hint="eastAsia" w:ascii="Times New Roman" w:hAnsi="Times New Roman" w:eastAsia="仿宋_GB2312"/>
                <w:szCs w:val="21"/>
              </w:rPr>
              <w:t>、规范人类工程活动，有效避免人为引发地质灾害；</w:t>
            </w:r>
            <w:r>
              <w:rPr>
                <w:rFonts w:ascii="Times New Roman" w:hAnsi="Times New Roman" w:eastAsia="仿宋_GB2312"/>
                <w:szCs w:val="21"/>
              </w:rPr>
              <w:t>5</w:t>
            </w:r>
            <w:r>
              <w:rPr>
                <w:rFonts w:hint="eastAsia" w:ascii="Times New Roman" w:hAnsi="Times New Roman" w:eastAsia="仿宋_GB2312"/>
                <w:szCs w:val="21"/>
              </w:rPr>
              <w:t>、对危害性较大的地质灾害点进行勘查治理或避让搬迁，确保人民群众的生命财产安全；</w:t>
            </w:r>
            <w:r>
              <w:rPr>
                <w:rFonts w:ascii="Times New Roman" w:hAnsi="Times New Roman" w:eastAsia="仿宋_GB2312"/>
                <w:szCs w:val="21"/>
              </w:rPr>
              <w:t>6</w:t>
            </w:r>
            <w:r>
              <w:rPr>
                <w:rFonts w:hint="eastAsia" w:ascii="Times New Roman" w:hAnsi="Times New Roman" w:eastAsia="仿宋_GB2312"/>
                <w:szCs w:val="21"/>
              </w:rPr>
              <w:t>、保护地质生态环境，科学合理规划建设用地。</w:t>
            </w:r>
          </w:p>
        </w:tc>
        <w:tc>
          <w:tcPr>
            <w:tcW w:w="3576"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仿宋_GB2312"/>
                <w:kern w:val="0"/>
                <w:szCs w:val="21"/>
              </w:rPr>
            </w:pPr>
            <w:r>
              <w:rPr>
                <w:rFonts w:hint="eastAsia" w:ascii="Times New Roman" w:hAnsi="Times New Roman" w:eastAsia="仿宋_GB2312" w:cs="仿宋_GB2312"/>
                <w:kern w:val="0"/>
                <w:szCs w:val="21"/>
              </w:rPr>
              <w:t>资规、</w:t>
            </w:r>
            <w:r>
              <w:rPr>
                <w:rFonts w:hint="eastAsia" w:ascii="Times New Roman" w:hAnsi="Times New Roman" w:eastAsia="仿宋_GB2312"/>
                <w:szCs w:val="21"/>
              </w:rPr>
              <w:t>建设、教育、水利、文旅交通</w:t>
            </w:r>
          </w:p>
        </w:tc>
      </w:tr>
    </w:tbl>
    <w:p>
      <w:pPr>
        <w:spacing w:line="560" w:lineRule="exact"/>
        <w:ind w:firstLine="843" w:firstLineChars="300"/>
        <w:jc w:val="center"/>
        <w:rPr>
          <w:rFonts w:ascii="Times New Roman" w:hAnsi="Times New Roman" w:eastAsia="仿宋_GB2312" w:cs="仿宋_GB2312"/>
          <w:b/>
          <w:bCs/>
          <w:kern w:val="0"/>
          <w:sz w:val="28"/>
          <w:szCs w:val="28"/>
        </w:rPr>
      </w:pPr>
    </w:p>
    <w:p>
      <w:pPr>
        <w:spacing w:line="560" w:lineRule="exact"/>
        <w:ind w:firstLine="843" w:firstLineChars="300"/>
        <w:jc w:val="center"/>
        <w:rPr>
          <w:rFonts w:ascii="Times New Roman" w:hAnsi="Times New Roman" w:eastAsia="仿宋_GB2312" w:cs="仿宋_GB2312"/>
          <w:b/>
          <w:bCs/>
          <w:kern w:val="0"/>
          <w:sz w:val="28"/>
          <w:szCs w:val="28"/>
        </w:rPr>
      </w:pPr>
    </w:p>
    <w:p>
      <w:pPr>
        <w:spacing w:line="560" w:lineRule="exact"/>
        <w:ind w:firstLine="843" w:firstLineChars="300"/>
        <w:jc w:val="center"/>
        <w:rPr>
          <w:rFonts w:ascii="Times New Roman" w:hAnsi="Times New Roman" w:eastAsia="仿宋_GB2312" w:cs="仿宋_GB2312"/>
          <w:b/>
          <w:bCs/>
          <w:kern w:val="0"/>
          <w:sz w:val="28"/>
          <w:szCs w:val="28"/>
        </w:rPr>
      </w:pPr>
    </w:p>
    <w:p>
      <w:pPr>
        <w:spacing w:line="560" w:lineRule="exact"/>
        <w:ind w:firstLine="843" w:firstLineChars="300"/>
        <w:jc w:val="center"/>
        <w:rPr>
          <w:rFonts w:ascii="Times New Roman" w:hAnsi="Times New Roman" w:eastAsia="仿宋_GB2312" w:cs="仿宋_GB2312"/>
          <w:b/>
          <w:bCs/>
          <w:kern w:val="0"/>
          <w:sz w:val="28"/>
          <w:szCs w:val="28"/>
        </w:rPr>
      </w:pPr>
    </w:p>
    <w:p>
      <w:pPr>
        <w:spacing w:line="560" w:lineRule="exact"/>
        <w:ind w:firstLine="843" w:firstLineChars="300"/>
        <w:jc w:val="center"/>
        <w:rPr>
          <w:rFonts w:ascii="Times New Roman" w:hAnsi="Times New Roman" w:eastAsia="仿宋_GB2312" w:cs="仿宋_GB2312"/>
          <w:b/>
          <w:bCs/>
          <w:kern w:val="0"/>
          <w:sz w:val="28"/>
          <w:szCs w:val="28"/>
        </w:rPr>
      </w:pPr>
    </w:p>
    <w:p>
      <w:pPr>
        <w:spacing w:line="560" w:lineRule="exact"/>
        <w:rPr>
          <w:rFonts w:ascii="Times New Roman" w:hAnsi="Times New Roman" w:eastAsia="仿宋_GB2312" w:cs="仿宋_GB2312"/>
          <w:b/>
          <w:bCs/>
          <w:kern w:val="0"/>
          <w:sz w:val="28"/>
          <w:szCs w:val="28"/>
        </w:rPr>
      </w:pPr>
    </w:p>
    <w:p>
      <w:pPr>
        <w:spacing w:line="560" w:lineRule="exact"/>
        <w:ind w:firstLine="723" w:firstLineChars="300"/>
        <w:jc w:val="center"/>
        <w:rPr>
          <w:rFonts w:ascii="Times New Roman" w:hAnsi="Times New Roman" w:eastAsia="黑体" w:cs="仿宋_GB2312"/>
          <w:b/>
          <w:bCs/>
          <w:kern w:val="0"/>
          <w:sz w:val="24"/>
          <w:szCs w:val="24"/>
        </w:rPr>
      </w:pPr>
      <w:r>
        <w:rPr>
          <w:rFonts w:hint="eastAsia" w:ascii="Times New Roman" w:hAnsi="Times New Roman" w:eastAsia="黑体" w:cs="仿宋_GB2312"/>
          <w:b/>
          <w:bCs/>
          <w:kern w:val="0"/>
          <w:sz w:val="24"/>
          <w:szCs w:val="24"/>
        </w:rPr>
        <w:t>附表</w:t>
      </w:r>
      <w:r>
        <w:rPr>
          <w:rFonts w:ascii="Times New Roman" w:hAnsi="Times New Roman" w:eastAsia="黑体" w:cs="仿宋_GB2312"/>
          <w:b/>
          <w:bCs/>
          <w:kern w:val="0"/>
          <w:sz w:val="24"/>
          <w:szCs w:val="24"/>
        </w:rPr>
        <w:t xml:space="preserve">5  </w:t>
      </w:r>
      <w:r>
        <w:rPr>
          <w:rFonts w:hint="eastAsia" w:ascii="Times New Roman" w:hAnsi="Times New Roman" w:eastAsia="黑体" w:cs="仿宋_GB2312"/>
          <w:b/>
          <w:bCs/>
          <w:kern w:val="0"/>
          <w:sz w:val="24"/>
          <w:szCs w:val="24"/>
        </w:rPr>
        <w:t>武义县地质灾害重点防治村（社区）一览表</w:t>
      </w:r>
    </w:p>
    <w:tbl>
      <w:tblPr>
        <w:tblStyle w:val="16"/>
        <w:tblW w:w="13948" w:type="dxa"/>
        <w:tblInd w:w="0" w:type="dxa"/>
        <w:tblLayout w:type="fixed"/>
        <w:tblCellMar>
          <w:top w:w="0" w:type="dxa"/>
          <w:left w:w="108" w:type="dxa"/>
          <w:bottom w:w="0" w:type="dxa"/>
          <w:right w:w="108" w:type="dxa"/>
        </w:tblCellMar>
      </w:tblPr>
      <w:tblGrid>
        <w:gridCol w:w="704"/>
        <w:gridCol w:w="952"/>
        <w:gridCol w:w="1029"/>
        <w:gridCol w:w="1057"/>
        <w:gridCol w:w="1155"/>
        <w:gridCol w:w="862"/>
        <w:gridCol w:w="1141"/>
        <w:gridCol w:w="1071"/>
        <w:gridCol w:w="1057"/>
        <w:gridCol w:w="1029"/>
        <w:gridCol w:w="1001"/>
        <w:gridCol w:w="1085"/>
        <w:gridCol w:w="904"/>
        <w:gridCol w:w="901"/>
      </w:tblGrid>
      <w:tr>
        <w:tblPrEx>
          <w:tblCellMar>
            <w:top w:w="0" w:type="dxa"/>
            <w:left w:w="108" w:type="dxa"/>
            <w:bottom w:w="0" w:type="dxa"/>
            <w:right w:w="108" w:type="dxa"/>
          </w:tblCellMar>
        </w:tblPrEx>
        <w:trPr>
          <w:trHeight w:val="852" w:hRule="atLeast"/>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序号</w:t>
            </w:r>
          </w:p>
        </w:tc>
        <w:tc>
          <w:tcPr>
            <w:tcW w:w="9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乡镇</w:t>
            </w:r>
            <w:r>
              <w:rPr>
                <w:rFonts w:ascii="Times New Roman" w:hAnsi="Times New Roman" w:eastAsia="仿宋_GB2312" w:cs="仿宋_GB2312"/>
                <w:b/>
                <w:bCs/>
                <w:kern w:val="0"/>
                <w:szCs w:val="21"/>
              </w:rPr>
              <w:br w:type="textWrapping"/>
            </w:r>
            <w:r>
              <w:rPr>
                <w:rFonts w:hint="eastAsia" w:ascii="Times New Roman" w:hAnsi="Times New Roman" w:eastAsia="仿宋_GB2312" w:cs="仿宋_GB2312"/>
                <w:b/>
                <w:bCs/>
                <w:kern w:val="0"/>
                <w:szCs w:val="21"/>
              </w:rPr>
              <w:t>（街道）</w:t>
            </w:r>
          </w:p>
        </w:tc>
        <w:tc>
          <w:tcPr>
            <w:tcW w:w="10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重点防治村（社区）</w:t>
            </w:r>
          </w:p>
        </w:tc>
        <w:tc>
          <w:tcPr>
            <w:tcW w:w="1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行政区面积（</w:t>
            </w:r>
            <w:r>
              <w:rPr>
                <w:rFonts w:ascii="Times New Roman" w:hAnsi="Times New Roman" w:eastAsia="仿宋_GB2312" w:cs="仿宋_GB2312"/>
                <w:b/>
                <w:bCs/>
                <w:kern w:val="0"/>
                <w:szCs w:val="21"/>
              </w:rPr>
              <w:t>km</w:t>
            </w:r>
            <w:r>
              <w:rPr>
                <w:rFonts w:ascii="Times New Roman" w:hAnsi="Times New Roman" w:eastAsia="仿宋_GB2312" w:cs="仿宋_GB2312"/>
                <w:b/>
                <w:bCs/>
                <w:kern w:val="0"/>
                <w:szCs w:val="21"/>
                <w:vertAlign w:val="superscript"/>
              </w:rPr>
              <w:t>2</w:t>
            </w:r>
            <w:r>
              <w:rPr>
                <w:rFonts w:hint="eastAsia" w:ascii="Times New Roman" w:hAnsi="Times New Roman" w:eastAsia="仿宋_GB2312" w:cs="仿宋_GB2312"/>
                <w:b/>
                <w:bCs/>
                <w:kern w:val="0"/>
                <w:szCs w:val="21"/>
              </w:rPr>
              <w:t>）</w:t>
            </w:r>
          </w:p>
        </w:tc>
        <w:tc>
          <w:tcPr>
            <w:tcW w:w="422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地质灾害易发区面积（</w:t>
            </w:r>
            <w:r>
              <w:rPr>
                <w:rFonts w:ascii="Times New Roman" w:hAnsi="Times New Roman" w:eastAsia="仿宋_GB2312" w:cs="仿宋_GB2312"/>
                <w:b/>
                <w:bCs/>
                <w:kern w:val="0"/>
                <w:szCs w:val="21"/>
              </w:rPr>
              <w:t>km</w:t>
            </w:r>
            <w:r>
              <w:rPr>
                <w:rFonts w:ascii="Times New Roman" w:hAnsi="Times New Roman" w:eastAsia="仿宋_GB2312" w:cs="仿宋_GB2312"/>
                <w:b/>
                <w:bCs/>
                <w:kern w:val="0"/>
                <w:szCs w:val="21"/>
                <w:vertAlign w:val="superscript"/>
              </w:rPr>
              <w:t>2</w:t>
            </w:r>
            <w:r>
              <w:rPr>
                <w:rFonts w:hint="eastAsia" w:ascii="Times New Roman" w:hAnsi="Times New Roman" w:eastAsia="仿宋_GB2312" w:cs="仿宋_GB2312"/>
                <w:b/>
                <w:bCs/>
                <w:kern w:val="0"/>
                <w:szCs w:val="21"/>
              </w:rPr>
              <w:t>）</w:t>
            </w:r>
          </w:p>
        </w:tc>
        <w:tc>
          <w:tcPr>
            <w:tcW w:w="3087"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地质灾害隐患</w:t>
            </w:r>
          </w:p>
        </w:tc>
        <w:tc>
          <w:tcPr>
            <w:tcW w:w="289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地质灾害风险防范区</w:t>
            </w:r>
          </w:p>
        </w:tc>
      </w:tr>
      <w:tr>
        <w:tblPrEx>
          <w:tblCellMar>
            <w:top w:w="0" w:type="dxa"/>
            <w:left w:w="108" w:type="dxa"/>
            <w:bottom w:w="0" w:type="dxa"/>
            <w:right w:w="108" w:type="dxa"/>
          </w:tblCellMar>
        </w:tblPrEx>
        <w:trPr>
          <w:trHeight w:val="57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
                <w:bCs/>
                <w:kern w:val="0"/>
                <w:szCs w:val="21"/>
              </w:rPr>
            </w:pPr>
          </w:p>
        </w:tc>
        <w:tc>
          <w:tcPr>
            <w:tcW w:w="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
                <w:bCs/>
                <w:kern w:val="0"/>
                <w:szCs w:val="21"/>
              </w:rPr>
            </w:pPr>
          </w:p>
        </w:tc>
        <w:tc>
          <w:tcPr>
            <w:tcW w:w="1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
                <w:bCs/>
                <w:kern w:val="0"/>
                <w:szCs w:val="21"/>
              </w:rPr>
            </w:pPr>
          </w:p>
        </w:tc>
        <w:tc>
          <w:tcPr>
            <w:tcW w:w="10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
                <w:bCs/>
                <w:kern w:val="0"/>
                <w:szCs w:val="21"/>
              </w:rPr>
            </w:pPr>
          </w:p>
        </w:tc>
        <w:tc>
          <w:tcPr>
            <w:tcW w:w="115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高</w:t>
            </w:r>
          </w:p>
        </w:tc>
        <w:tc>
          <w:tcPr>
            <w:tcW w:w="862"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中</w:t>
            </w:r>
          </w:p>
        </w:tc>
        <w:tc>
          <w:tcPr>
            <w:tcW w:w="114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低</w:t>
            </w:r>
          </w:p>
        </w:tc>
        <w:tc>
          <w:tcPr>
            <w:tcW w:w="107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合计</w:t>
            </w:r>
          </w:p>
        </w:tc>
        <w:tc>
          <w:tcPr>
            <w:tcW w:w="105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数量（处）</w:t>
            </w: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威胁人数（人）</w:t>
            </w:r>
          </w:p>
        </w:tc>
        <w:tc>
          <w:tcPr>
            <w:tcW w:w="10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威胁财产（万元）</w:t>
            </w:r>
          </w:p>
        </w:tc>
        <w:tc>
          <w:tcPr>
            <w:tcW w:w="10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数量（处）</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影响人数（人）</w:t>
            </w:r>
          </w:p>
        </w:tc>
        <w:tc>
          <w:tcPr>
            <w:tcW w:w="901"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影响财产（万元）</w:t>
            </w:r>
          </w:p>
        </w:tc>
      </w:tr>
      <w:tr>
        <w:tblPrEx>
          <w:tblCellMar>
            <w:top w:w="0" w:type="dxa"/>
            <w:left w:w="108" w:type="dxa"/>
            <w:bottom w:w="0" w:type="dxa"/>
            <w:right w:w="108" w:type="dxa"/>
          </w:tblCellMar>
        </w:tblPrEx>
        <w:trPr>
          <w:trHeight w:val="851" w:hRule="exac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w:t>
            </w:r>
          </w:p>
        </w:tc>
        <w:tc>
          <w:tcPr>
            <w:tcW w:w="952" w:type="dxa"/>
            <w:vMerge w:val="restart"/>
            <w:tcBorders>
              <w:top w:val="nil"/>
              <w:left w:val="nil"/>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szCs w:val="21"/>
              </w:rPr>
              <w:t>白姆乡</w:t>
            </w: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szCs w:val="21"/>
              </w:rPr>
              <w:t>董处</w:t>
            </w:r>
            <w:r>
              <w:rPr>
                <w:rFonts w:ascii="Times New Roman" w:hAnsi="Times New Roman" w:eastAsia="仿宋_GB2312"/>
                <w:szCs w:val="21"/>
              </w:rPr>
              <w:t xml:space="preserve">  </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6.74</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6.74</w:t>
            </w:r>
          </w:p>
        </w:tc>
        <w:tc>
          <w:tcPr>
            <w:tcW w:w="1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6.74</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01" w:type="dxa"/>
            <w:tcBorders>
              <w:top w:val="nil"/>
              <w:left w:val="nil"/>
              <w:bottom w:val="single" w:color="auto" w:sz="4" w:space="0"/>
              <w:right w:val="single" w:color="auto" w:sz="4" w:space="0"/>
            </w:tcBorders>
            <w:shd w:val="clear" w:color="auto" w:fill="auto"/>
            <w:vAlign w:val="center"/>
          </w:tcPr>
          <w:p>
            <w:pPr>
              <w:widowControl/>
              <w:spacing w:line="720" w:lineRule="auto"/>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2</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82</w:t>
            </w:r>
          </w:p>
        </w:tc>
        <w:tc>
          <w:tcPr>
            <w:tcW w:w="9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424</w:t>
            </w:r>
          </w:p>
        </w:tc>
      </w:tr>
      <w:tr>
        <w:tblPrEx>
          <w:tblCellMar>
            <w:top w:w="0" w:type="dxa"/>
            <w:left w:w="108" w:type="dxa"/>
            <w:bottom w:w="0" w:type="dxa"/>
            <w:right w:w="108" w:type="dxa"/>
          </w:tblCellMar>
        </w:tblPrEx>
        <w:trPr>
          <w:trHeight w:val="851" w:hRule="exac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w:t>
            </w:r>
          </w:p>
        </w:tc>
        <w:tc>
          <w:tcPr>
            <w:tcW w:w="952"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Cs w:val="21"/>
              </w:rPr>
            </w:pP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外麻阳</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9.74</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1.78</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7.96</w:t>
            </w:r>
          </w:p>
        </w:tc>
        <w:tc>
          <w:tcPr>
            <w:tcW w:w="1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9.74</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001" w:type="dxa"/>
            <w:tcBorders>
              <w:top w:val="nil"/>
              <w:left w:val="nil"/>
              <w:bottom w:val="single" w:color="auto" w:sz="4" w:space="0"/>
              <w:right w:val="single" w:color="auto" w:sz="4" w:space="0"/>
            </w:tcBorders>
            <w:shd w:val="clear" w:color="auto" w:fill="auto"/>
            <w:vAlign w:val="center"/>
          </w:tcPr>
          <w:p>
            <w:pPr>
              <w:widowControl/>
              <w:spacing w:line="720" w:lineRule="auto"/>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0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24</w:t>
            </w:r>
          </w:p>
        </w:tc>
        <w:tc>
          <w:tcPr>
            <w:tcW w:w="9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50</w:t>
            </w:r>
          </w:p>
        </w:tc>
      </w:tr>
      <w:tr>
        <w:tblPrEx>
          <w:tblCellMar>
            <w:top w:w="0" w:type="dxa"/>
            <w:left w:w="108" w:type="dxa"/>
            <w:bottom w:w="0" w:type="dxa"/>
            <w:right w:w="108" w:type="dxa"/>
          </w:tblCellMar>
        </w:tblPrEx>
        <w:trPr>
          <w:trHeight w:val="851" w:hRule="exac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3</w:t>
            </w:r>
          </w:p>
        </w:tc>
        <w:tc>
          <w:tcPr>
            <w:tcW w:w="95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大溪口乡</w:t>
            </w:r>
          </w:p>
        </w:tc>
        <w:tc>
          <w:tcPr>
            <w:tcW w:w="10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szCs w:val="21"/>
              </w:rPr>
              <w:t>溪岭脚</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19.89</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19.89</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19.89</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spacing w:line="720" w:lineRule="auto"/>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3</w:t>
            </w:r>
          </w:p>
        </w:tc>
        <w:tc>
          <w:tcPr>
            <w:tcW w:w="9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28</w:t>
            </w:r>
          </w:p>
        </w:tc>
        <w:tc>
          <w:tcPr>
            <w:tcW w:w="9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168</w:t>
            </w:r>
          </w:p>
        </w:tc>
      </w:tr>
      <w:tr>
        <w:tblPrEx>
          <w:tblCellMar>
            <w:top w:w="0" w:type="dxa"/>
            <w:left w:w="108" w:type="dxa"/>
            <w:bottom w:w="0" w:type="dxa"/>
            <w:right w:w="108" w:type="dxa"/>
          </w:tblCellMar>
        </w:tblPrEx>
        <w:trPr>
          <w:trHeight w:val="851" w:hRule="exac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4</w:t>
            </w:r>
          </w:p>
        </w:tc>
        <w:tc>
          <w:tcPr>
            <w:tcW w:w="952" w:type="dxa"/>
            <w:vMerge w:val="continue"/>
            <w:tcBorders>
              <w:left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p>
        </w:tc>
        <w:tc>
          <w:tcPr>
            <w:tcW w:w="10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szCs w:val="21"/>
              </w:rPr>
              <w:t>竹翠</w:t>
            </w:r>
            <w:r>
              <w:rPr>
                <w:rFonts w:ascii="Times New Roman" w:hAnsi="Times New Roman" w:eastAsia="仿宋_GB2312"/>
                <w:szCs w:val="21"/>
              </w:rPr>
              <w:t xml:space="preserve"> </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17.31</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2.72</w:t>
            </w:r>
          </w:p>
        </w:tc>
        <w:tc>
          <w:tcPr>
            <w:tcW w:w="1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14.59</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17.31</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spacing w:line="720" w:lineRule="auto"/>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w:t>
            </w:r>
          </w:p>
        </w:tc>
        <w:tc>
          <w:tcPr>
            <w:tcW w:w="9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20</w:t>
            </w:r>
          </w:p>
        </w:tc>
        <w:tc>
          <w:tcPr>
            <w:tcW w:w="9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45</w:t>
            </w:r>
          </w:p>
        </w:tc>
      </w:tr>
      <w:tr>
        <w:tblPrEx>
          <w:tblCellMar>
            <w:top w:w="0" w:type="dxa"/>
            <w:left w:w="108" w:type="dxa"/>
            <w:bottom w:w="0" w:type="dxa"/>
            <w:right w:w="108" w:type="dxa"/>
          </w:tblCellMar>
        </w:tblPrEx>
        <w:trPr>
          <w:trHeight w:val="851" w:hRule="exac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5</w:t>
            </w:r>
          </w:p>
        </w:tc>
        <w:tc>
          <w:tcPr>
            <w:tcW w:w="952"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p>
        </w:tc>
        <w:tc>
          <w:tcPr>
            <w:tcW w:w="10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溪口</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9.95</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1.98</w:t>
            </w:r>
          </w:p>
        </w:tc>
        <w:tc>
          <w:tcPr>
            <w:tcW w:w="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7.79</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9.95</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0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spacing w:line="720" w:lineRule="auto"/>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9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135</w:t>
            </w:r>
          </w:p>
        </w:tc>
        <w:tc>
          <w:tcPr>
            <w:tcW w:w="9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1026</w:t>
            </w:r>
          </w:p>
        </w:tc>
      </w:tr>
      <w:tr>
        <w:tblPrEx>
          <w:tblCellMar>
            <w:top w:w="0" w:type="dxa"/>
            <w:left w:w="108" w:type="dxa"/>
            <w:bottom w:w="0" w:type="dxa"/>
            <w:right w:w="108" w:type="dxa"/>
          </w:tblCellMar>
        </w:tblPrEx>
        <w:trPr>
          <w:trHeight w:val="851" w:hRule="exac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6</w:t>
            </w:r>
          </w:p>
        </w:tc>
        <w:tc>
          <w:tcPr>
            <w:tcW w:w="95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壶山街道</w:t>
            </w: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szCs w:val="21"/>
              </w:rPr>
              <w:t>清塘下店</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10.09</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1.96</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8.13</w:t>
            </w:r>
          </w:p>
        </w:tc>
        <w:tc>
          <w:tcPr>
            <w:tcW w:w="1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10.09</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01" w:type="dxa"/>
            <w:tcBorders>
              <w:top w:val="nil"/>
              <w:left w:val="nil"/>
              <w:bottom w:val="single" w:color="auto" w:sz="4" w:space="0"/>
              <w:right w:val="single" w:color="auto" w:sz="4" w:space="0"/>
            </w:tcBorders>
            <w:shd w:val="clear" w:color="auto" w:fill="auto"/>
            <w:vAlign w:val="center"/>
          </w:tcPr>
          <w:p>
            <w:pPr>
              <w:widowControl/>
              <w:spacing w:line="720" w:lineRule="auto"/>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2</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27</w:t>
            </w:r>
          </w:p>
        </w:tc>
        <w:tc>
          <w:tcPr>
            <w:tcW w:w="9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110</w:t>
            </w:r>
          </w:p>
        </w:tc>
      </w:tr>
      <w:tr>
        <w:tblPrEx>
          <w:tblCellMar>
            <w:top w:w="0" w:type="dxa"/>
            <w:left w:w="108" w:type="dxa"/>
            <w:bottom w:w="0" w:type="dxa"/>
            <w:right w:w="108" w:type="dxa"/>
          </w:tblCellMar>
        </w:tblPrEx>
        <w:trPr>
          <w:trHeight w:val="851" w:hRule="exac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7</w:t>
            </w:r>
          </w:p>
        </w:tc>
        <w:tc>
          <w:tcPr>
            <w:tcW w:w="9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柳城镇</w:t>
            </w:r>
          </w:p>
        </w:tc>
        <w:tc>
          <w:tcPr>
            <w:tcW w:w="10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szCs w:val="21"/>
              </w:rPr>
              <w:t>石门洲</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5.81</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3.58</w:t>
            </w:r>
          </w:p>
        </w:tc>
        <w:tc>
          <w:tcPr>
            <w:tcW w:w="1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2.23</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5.81</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w:t>
            </w:r>
          </w:p>
        </w:tc>
        <w:tc>
          <w:tcPr>
            <w:tcW w:w="10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spacing w:line="720" w:lineRule="auto"/>
              <w:jc w:val="center"/>
              <w:rPr>
                <w:rFonts w:ascii="Times New Roman" w:hAnsi="Times New Roman" w:eastAsia="仿宋_GB2312" w:cs="Times New Roman"/>
                <w:kern w:val="0"/>
                <w:szCs w:val="21"/>
              </w:rPr>
            </w:pPr>
            <w:r>
              <w:rPr>
                <w:rFonts w:ascii="Times New Roman" w:hAnsi="Times New Roman" w:eastAsia="仿宋_GB2312" w:cs="Times New Roman"/>
                <w:szCs w:val="21"/>
              </w:rPr>
              <w:t>200</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2</w:t>
            </w:r>
          </w:p>
        </w:tc>
        <w:tc>
          <w:tcPr>
            <w:tcW w:w="9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20</w:t>
            </w:r>
          </w:p>
        </w:tc>
        <w:tc>
          <w:tcPr>
            <w:tcW w:w="9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128</w:t>
            </w:r>
          </w:p>
        </w:tc>
      </w:tr>
      <w:tr>
        <w:tblPrEx>
          <w:tblCellMar>
            <w:top w:w="0" w:type="dxa"/>
            <w:left w:w="108" w:type="dxa"/>
            <w:bottom w:w="0" w:type="dxa"/>
            <w:right w:w="108" w:type="dxa"/>
          </w:tblCellMar>
        </w:tblPrEx>
        <w:trPr>
          <w:trHeight w:val="851" w:hRule="exac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8</w:t>
            </w:r>
          </w:p>
        </w:tc>
        <w:tc>
          <w:tcPr>
            <w:tcW w:w="95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三港乡</w:t>
            </w: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szCs w:val="21"/>
              </w:rPr>
              <w:t>章湾</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2.26</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1.98</w:t>
            </w:r>
          </w:p>
        </w:tc>
        <w:tc>
          <w:tcPr>
            <w:tcW w:w="1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1.98</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01" w:type="dxa"/>
            <w:tcBorders>
              <w:top w:val="nil"/>
              <w:left w:val="nil"/>
              <w:bottom w:val="single" w:color="auto" w:sz="4" w:space="0"/>
              <w:right w:val="single" w:color="auto" w:sz="4" w:space="0"/>
            </w:tcBorders>
            <w:shd w:val="clear" w:color="auto" w:fill="auto"/>
            <w:vAlign w:val="center"/>
          </w:tcPr>
          <w:p>
            <w:pPr>
              <w:widowControl/>
              <w:spacing w:line="720" w:lineRule="auto"/>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63</w:t>
            </w:r>
          </w:p>
        </w:tc>
        <w:tc>
          <w:tcPr>
            <w:tcW w:w="9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600</w:t>
            </w:r>
          </w:p>
        </w:tc>
      </w:tr>
      <w:tr>
        <w:tblPrEx>
          <w:tblCellMar>
            <w:top w:w="0" w:type="dxa"/>
            <w:left w:w="108" w:type="dxa"/>
            <w:bottom w:w="0" w:type="dxa"/>
            <w:right w:w="108" w:type="dxa"/>
          </w:tblCellMar>
        </w:tblPrEx>
        <w:trPr>
          <w:trHeight w:val="851" w:hRule="exac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9</w:t>
            </w:r>
          </w:p>
        </w:tc>
        <w:tc>
          <w:tcPr>
            <w:tcW w:w="952"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坦洪乡</w:t>
            </w:r>
          </w:p>
        </w:tc>
        <w:tc>
          <w:tcPr>
            <w:tcW w:w="10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szCs w:val="21"/>
              </w:rPr>
              <w:t>上坦</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4.63</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4.63</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4.63</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spacing w:line="720" w:lineRule="auto"/>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2</w:t>
            </w:r>
          </w:p>
        </w:tc>
        <w:tc>
          <w:tcPr>
            <w:tcW w:w="9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27</w:t>
            </w:r>
          </w:p>
        </w:tc>
        <w:tc>
          <w:tcPr>
            <w:tcW w:w="9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55</w:t>
            </w:r>
          </w:p>
        </w:tc>
      </w:tr>
      <w:tr>
        <w:tblPrEx>
          <w:tblCellMar>
            <w:top w:w="0" w:type="dxa"/>
            <w:left w:w="108" w:type="dxa"/>
            <w:bottom w:w="0" w:type="dxa"/>
            <w:right w:w="108" w:type="dxa"/>
          </w:tblCellMar>
        </w:tblPrEx>
        <w:trPr>
          <w:trHeight w:val="851" w:hRule="exact"/>
        </w:trPr>
        <w:tc>
          <w:tcPr>
            <w:tcW w:w="7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10</w:t>
            </w:r>
          </w:p>
        </w:tc>
        <w:tc>
          <w:tcPr>
            <w:tcW w:w="952"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szCs w:val="21"/>
              </w:rPr>
              <w:t>陈村</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4.99</w:t>
            </w:r>
          </w:p>
        </w:tc>
        <w:tc>
          <w:tcPr>
            <w:tcW w:w="115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86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14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4.99</w:t>
            </w:r>
          </w:p>
        </w:tc>
        <w:tc>
          <w:tcPr>
            <w:tcW w:w="107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4.99</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01" w:type="dxa"/>
            <w:tcBorders>
              <w:top w:val="nil"/>
              <w:left w:val="nil"/>
              <w:bottom w:val="single" w:color="auto" w:sz="4" w:space="0"/>
              <w:right w:val="single" w:color="auto" w:sz="4" w:space="0"/>
            </w:tcBorders>
            <w:shd w:val="clear" w:color="auto" w:fill="auto"/>
            <w:vAlign w:val="center"/>
          </w:tcPr>
          <w:p>
            <w:pPr>
              <w:widowControl/>
              <w:spacing w:line="720" w:lineRule="auto"/>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4</w:t>
            </w:r>
          </w:p>
        </w:tc>
        <w:tc>
          <w:tcPr>
            <w:tcW w:w="90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64</w:t>
            </w:r>
          </w:p>
        </w:tc>
        <w:tc>
          <w:tcPr>
            <w:tcW w:w="9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278</w:t>
            </w:r>
          </w:p>
        </w:tc>
      </w:tr>
      <w:tr>
        <w:tblPrEx>
          <w:tblCellMar>
            <w:top w:w="0" w:type="dxa"/>
            <w:left w:w="108" w:type="dxa"/>
            <w:bottom w:w="0" w:type="dxa"/>
            <w:right w:w="108" w:type="dxa"/>
          </w:tblCellMar>
        </w:tblPrEx>
        <w:trPr>
          <w:trHeight w:val="851" w:hRule="exac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11</w:t>
            </w:r>
          </w:p>
        </w:tc>
        <w:tc>
          <w:tcPr>
            <w:tcW w:w="952" w:type="dxa"/>
            <w:vMerge w:val="restart"/>
            <w:tcBorders>
              <w:top w:val="single" w:color="auto" w:sz="4" w:space="0"/>
              <w:left w:val="nil"/>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泉溪镇</w:t>
            </w:r>
          </w:p>
        </w:tc>
        <w:tc>
          <w:tcPr>
            <w:tcW w:w="10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szCs w:val="21"/>
              </w:rPr>
              <w:t>金园</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3.67</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3.67</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3.67</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spacing w:line="720" w:lineRule="auto"/>
              <w:jc w:val="center"/>
              <w:rPr>
                <w:rFonts w:ascii="Times New Roman" w:hAnsi="Times New Roman" w:eastAsia="仿宋_GB2312" w:cs="Times New Roman"/>
                <w:kern w:val="0"/>
                <w:szCs w:val="21"/>
              </w:rPr>
            </w:pPr>
            <w:r>
              <w:rPr>
                <w:rFonts w:ascii="Times New Roman" w:hAnsi="Times New Roman" w:eastAsia="仿宋_GB2312" w:cs="Times New Roman"/>
                <w:szCs w:val="21"/>
              </w:rPr>
              <w:t>0</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2</w:t>
            </w:r>
          </w:p>
        </w:tc>
        <w:tc>
          <w:tcPr>
            <w:tcW w:w="9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38</w:t>
            </w:r>
          </w:p>
        </w:tc>
        <w:tc>
          <w:tcPr>
            <w:tcW w:w="9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szCs w:val="21"/>
              </w:rPr>
              <w:t>107</w:t>
            </w:r>
          </w:p>
        </w:tc>
      </w:tr>
      <w:tr>
        <w:tblPrEx>
          <w:tblCellMar>
            <w:top w:w="0" w:type="dxa"/>
            <w:left w:w="108" w:type="dxa"/>
            <w:bottom w:w="0" w:type="dxa"/>
            <w:right w:w="108" w:type="dxa"/>
          </w:tblCellMar>
        </w:tblPrEx>
        <w:trPr>
          <w:trHeight w:val="851" w:hRule="exact"/>
        </w:trPr>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12</w:t>
            </w:r>
          </w:p>
        </w:tc>
        <w:tc>
          <w:tcPr>
            <w:tcW w:w="952" w:type="dxa"/>
            <w:vMerge w:val="continue"/>
            <w:tcBorders>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p>
        </w:tc>
        <w:tc>
          <w:tcPr>
            <w:tcW w:w="10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瑶村</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10.92</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1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10.92</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10.92</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0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spacing w:line="720" w:lineRule="auto"/>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0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9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22</w:t>
            </w:r>
          </w:p>
        </w:tc>
        <w:tc>
          <w:tcPr>
            <w:tcW w:w="9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240</w:t>
            </w:r>
          </w:p>
        </w:tc>
      </w:tr>
    </w:tbl>
    <w:p>
      <w:pPr>
        <w:spacing w:line="560" w:lineRule="exact"/>
        <w:ind w:firstLine="843" w:firstLineChars="300"/>
        <w:jc w:val="center"/>
        <w:rPr>
          <w:rFonts w:ascii="Times New Roman" w:hAnsi="Times New Roman" w:eastAsia="仿宋_GB2312" w:cs="仿宋_GB2312"/>
          <w:b/>
          <w:bCs/>
          <w:kern w:val="0"/>
          <w:sz w:val="28"/>
          <w:szCs w:val="28"/>
        </w:rPr>
      </w:pPr>
    </w:p>
    <w:p>
      <w:pPr>
        <w:spacing w:line="560" w:lineRule="exact"/>
        <w:ind w:firstLine="843" w:firstLineChars="300"/>
        <w:jc w:val="center"/>
        <w:rPr>
          <w:rFonts w:ascii="Times New Roman" w:hAnsi="Times New Roman" w:eastAsia="仿宋_GB2312" w:cs="仿宋_GB2312"/>
          <w:b/>
          <w:bCs/>
          <w:kern w:val="0"/>
          <w:sz w:val="28"/>
          <w:szCs w:val="28"/>
        </w:rPr>
      </w:pPr>
    </w:p>
    <w:p>
      <w:pPr>
        <w:spacing w:line="560" w:lineRule="exact"/>
        <w:ind w:firstLine="843" w:firstLineChars="300"/>
        <w:jc w:val="center"/>
        <w:rPr>
          <w:rFonts w:ascii="Times New Roman" w:hAnsi="Times New Roman" w:eastAsia="仿宋_GB2312" w:cs="仿宋_GB2312"/>
          <w:b/>
          <w:bCs/>
          <w:kern w:val="0"/>
          <w:sz w:val="28"/>
          <w:szCs w:val="28"/>
        </w:rPr>
      </w:pPr>
    </w:p>
    <w:p>
      <w:pPr>
        <w:spacing w:line="560" w:lineRule="exact"/>
        <w:rPr>
          <w:rFonts w:ascii="Times New Roman" w:hAnsi="Times New Roman" w:eastAsia="仿宋_GB2312" w:cs="仿宋_GB2312"/>
          <w:b/>
          <w:bCs/>
          <w:kern w:val="0"/>
          <w:sz w:val="28"/>
          <w:szCs w:val="28"/>
        </w:rPr>
      </w:pPr>
    </w:p>
    <w:p>
      <w:pPr>
        <w:spacing w:line="560" w:lineRule="exact"/>
        <w:rPr>
          <w:rFonts w:ascii="Times New Roman" w:hAnsi="Times New Roman" w:eastAsia="仿宋_GB2312" w:cs="仿宋_GB2312"/>
          <w:b/>
          <w:bCs/>
          <w:kern w:val="0"/>
          <w:sz w:val="28"/>
          <w:szCs w:val="28"/>
        </w:rPr>
      </w:pPr>
    </w:p>
    <w:p>
      <w:pPr>
        <w:spacing w:line="560" w:lineRule="exact"/>
        <w:ind w:firstLine="723" w:firstLineChars="300"/>
        <w:jc w:val="center"/>
      </w:pPr>
      <w:r>
        <w:rPr>
          <w:rFonts w:hint="eastAsia" w:ascii="Times New Roman" w:hAnsi="Times New Roman" w:eastAsia="黑体" w:cs="仿宋_GB2312"/>
          <w:b/>
          <w:bCs/>
          <w:kern w:val="0"/>
          <w:sz w:val="24"/>
          <w:szCs w:val="24"/>
        </w:rPr>
        <w:t>附表</w:t>
      </w:r>
      <w:r>
        <w:rPr>
          <w:rFonts w:ascii="Times New Roman" w:hAnsi="Times New Roman" w:eastAsia="黑体" w:cs="仿宋_GB2312"/>
          <w:b/>
          <w:bCs/>
          <w:kern w:val="0"/>
          <w:sz w:val="24"/>
          <w:szCs w:val="24"/>
        </w:rPr>
        <w:t xml:space="preserve">6  </w:t>
      </w:r>
      <w:r>
        <w:rPr>
          <w:rFonts w:hint="eastAsia" w:ascii="Times New Roman" w:hAnsi="Times New Roman" w:eastAsia="黑体" w:cs="仿宋_GB2312"/>
          <w:b/>
          <w:bCs/>
          <w:kern w:val="0"/>
          <w:sz w:val="24"/>
          <w:szCs w:val="24"/>
        </w:rPr>
        <w:t>武义县“十四五”地质灾害防治重点工程（项目）一览表</w:t>
      </w:r>
      <w:bookmarkEnd w:id="51"/>
    </w:p>
    <w:tbl>
      <w:tblPr>
        <w:tblStyle w:val="16"/>
        <w:tblW w:w="13948" w:type="dxa"/>
        <w:tblInd w:w="0" w:type="dxa"/>
        <w:tblLayout w:type="fixed"/>
        <w:tblCellMar>
          <w:top w:w="0" w:type="dxa"/>
          <w:left w:w="108" w:type="dxa"/>
          <w:bottom w:w="0" w:type="dxa"/>
          <w:right w:w="108" w:type="dxa"/>
        </w:tblCellMar>
      </w:tblPr>
      <w:tblGrid>
        <w:gridCol w:w="781"/>
        <w:gridCol w:w="2316"/>
        <w:gridCol w:w="2611"/>
        <w:gridCol w:w="4614"/>
        <w:gridCol w:w="1445"/>
        <w:gridCol w:w="2181"/>
      </w:tblGrid>
      <w:tr>
        <w:tblPrEx>
          <w:tblCellMar>
            <w:top w:w="0" w:type="dxa"/>
            <w:left w:w="108" w:type="dxa"/>
            <w:bottom w:w="0" w:type="dxa"/>
            <w:right w:w="108" w:type="dxa"/>
          </w:tblCellMar>
        </w:tblPrEx>
        <w:trPr>
          <w:trHeight w:val="402" w:hRule="atLeast"/>
          <w:tblHeader/>
        </w:trPr>
        <w:tc>
          <w:tcPr>
            <w:tcW w:w="7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序号</w:t>
            </w:r>
          </w:p>
        </w:tc>
        <w:tc>
          <w:tcPr>
            <w:tcW w:w="2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重点工程</w:t>
            </w:r>
          </w:p>
        </w:tc>
        <w:tc>
          <w:tcPr>
            <w:tcW w:w="26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项目名称</w:t>
            </w:r>
          </w:p>
        </w:tc>
        <w:tc>
          <w:tcPr>
            <w:tcW w:w="46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任务要求</w:t>
            </w:r>
          </w:p>
        </w:tc>
        <w:tc>
          <w:tcPr>
            <w:tcW w:w="14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实施时间</w:t>
            </w:r>
          </w:p>
        </w:tc>
        <w:tc>
          <w:tcPr>
            <w:tcW w:w="21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经费概算</w:t>
            </w:r>
          </w:p>
        </w:tc>
      </w:tr>
      <w:tr>
        <w:tblPrEx>
          <w:tblCellMar>
            <w:top w:w="0" w:type="dxa"/>
            <w:left w:w="108" w:type="dxa"/>
            <w:bottom w:w="0" w:type="dxa"/>
            <w:right w:w="108" w:type="dxa"/>
          </w:tblCellMar>
        </w:tblPrEx>
        <w:trPr>
          <w:trHeight w:val="379" w:hRule="atLeast"/>
          <w:tblHeader/>
        </w:trPr>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
                <w:bCs/>
                <w:kern w:val="0"/>
                <w:szCs w:val="21"/>
              </w:rPr>
            </w:pP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
                <w:bCs/>
                <w:kern w:val="0"/>
                <w:szCs w:val="21"/>
              </w:rPr>
            </w:pPr>
          </w:p>
        </w:tc>
        <w:tc>
          <w:tcPr>
            <w:tcW w:w="26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
                <w:bCs/>
                <w:kern w:val="0"/>
                <w:szCs w:val="21"/>
              </w:rPr>
            </w:pPr>
          </w:p>
        </w:tc>
        <w:tc>
          <w:tcPr>
            <w:tcW w:w="4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
                <w:bCs/>
                <w:kern w:val="0"/>
                <w:szCs w:val="21"/>
              </w:rPr>
            </w:pPr>
          </w:p>
        </w:tc>
        <w:tc>
          <w:tcPr>
            <w:tcW w:w="14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b/>
                <w:bCs/>
                <w:kern w:val="0"/>
                <w:szCs w:val="21"/>
              </w:rPr>
            </w:pPr>
          </w:p>
        </w:tc>
        <w:tc>
          <w:tcPr>
            <w:tcW w:w="2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b/>
                <w:bCs/>
                <w:kern w:val="0"/>
                <w:szCs w:val="21"/>
              </w:rPr>
            </w:pPr>
            <w:r>
              <w:rPr>
                <w:rFonts w:hint="eastAsia" w:ascii="Times New Roman" w:hAnsi="Times New Roman" w:eastAsia="仿宋_GB2312" w:cs="仿宋_GB2312"/>
                <w:b/>
                <w:bCs/>
                <w:kern w:val="0"/>
                <w:szCs w:val="21"/>
              </w:rPr>
              <w:t>（万元）</w:t>
            </w:r>
          </w:p>
        </w:tc>
      </w:tr>
      <w:tr>
        <w:tblPrEx>
          <w:tblCellMar>
            <w:top w:w="0" w:type="dxa"/>
            <w:left w:w="108" w:type="dxa"/>
            <w:bottom w:w="0" w:type="dxa"/>
            <w:right w:w="108" w:type="dxa"/>
          </w:tblCellMar>
        </w:tblPrEx>
        <w:trPr>
          <w:trHeight w:val="1485" w:hRule="atLeast"/>
        </w:trPr>
        <w:tc>
          <w:tcPr>
            <w:tcW w:w="781"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w:t>
            </w:r>
          </w:p>
        </w:tc>
        <w:tc>
          <w:tcPr>
            <w:tcW w:w="2316"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地质灾害风险调查工程</w:t>
            </w:r>
          </w:p>
        </w:tc>
        <w:tc>
          <w:tcPr>
            <w:tcW w:w="26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bookmarkStart w:id="53" w:name="_Hlk74144575"/>
            <w:r>
              <w:rPr>
                <w:rFonts w:hint="eastAsia" w:ascii="Times New Roman" w:hAnsi="Times New Roman" w:eastAsia="仿宋_GB2312" w:cs="仿宋_GB2312"/>
                <w:kern w:val="0"/>
                <w:szCs w:val="21"/>
              </w:rPr>
              <w:t>完善地质灾害风险“一张图”</w:t>
            </w:r>
            <w:bookmarkEnd w:id="53"/>
          </w:p>
        </w:tc>
        <w:tc>
          <w:tcPr>
            <w:tcW w:w="461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r>
              <w:rPr>
                <w:rFonts w:ascii="Times New Roman" w:hAnsi="Times New Roman" w:eastAsia="仿宋_GB2312" w:cs="仿宋_GB2312"/>
                <w:kern w:val="0"/>
                <w:szCs w:val="21"/>
              </w:rPr>
              <w:t>2025</w:t>
            </w:r>
            <w:r>
              <w:rPr>
                <w:rFonts w:hint="eastAsia" w:ascii="Times New Roman" w:hAnsi="Times New Roman" w:eastAsia="仿宋_GB2312" w:cs="仿宋_GB2312"/>
                <w:kern w:val="0"/>
                <w:szCs w:val="21"/>
              </w:rPr>
              <w:t>年底，形成地质灾害日常排查巡查工作联动机制，实时更新完善全区地质灾害风险“一张图”。</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2021-2025</w:t>
            </w:r>
          </w:p>
        </w:tc>
        <w:tc>
          <w:tcPr>
            <w:tcW w:w="2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50</w:t>
            </w:r>
          </w:p>
        </w:tc>
      </w:tr>
      <w:tr>
        <w:tblPrEx>
          <w:tblCellMar>
            <w:top w:w="0" w:type="dxa"/>
            <w:left w:w="108" w:type="dxa"/>
            <w:bottom w:w="0" w:type="dxa"/>
            <w:right w:w="108" w:type="dxa"/>
          </w:tblCellMar>
        </w:tblPrEx>
        <w:trPr>
          <w:trHeight w:val="315" w:hRule="atLeast"/>
        </w:trPr>
        <w:tc>
          <w:tcPr>
            <w:tcW w:w="78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2316"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26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1:50000</w:t>
            </w:r>
            <w:r>
              <w:rPr>
                <w:rFonts w:hint="eastAsia" w:ascii="Times New Roman" w:hAnsi="Times New Roman" w:eastAsia="仿宋_GB2312" w:cs="仿宋_GB2312"/>
                <w:kern w:val="0"/>
                <w:szCs w:val="21"/>
              </w:rPr>
              <w:t>地质灾害风险普查</w:t>
            </w:r>
          </w:p>
        </w:tc>
        <w:tc>
          <w:tcPr>
            <w:tcW w:w="4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完成</w:t>
            </w:r>
            <w:r>
              <w:rPr>
                <w:rFonts w:ascii="Times New Roman" w:hAnsi="Times New Roman" w:eastAsia="仿宋_GB2312" w:cs="仿宋_GB2312"/>
                <w:kern w:val="0"/>
                <w:szCs w:val="21"/>
              </w:rPr>
              <w:t>1</w:t>
            </w:r>
            <w:r>
              <w:rPr>
                <w:rFonts w:hint="eastAsia" w:ascii="Times New Roman" w:hAnsi="Times New Roman" w:eastAsia="仿宋_GB2312" w:cs="仿宋_GB2312"/>
                <w:kern w:val="0"/>
                <w:szCs w:val="21"/>
              </w:rPr>
              <w:t>个</w:t>
            </w:r>
          </w:p>
        </w:tc>
        <w:tc>
          <w:tcPr>
            <w:tcW w:w="144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2021-2025</w:t>
            </w:r>
          </w:p>
        </w:tc>
        <w:tc>
          <w:tcPr>
            <w:tcW w:w="2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65</w:t>
            </w:r>
          </w:p>
        </w:tc>
      </w:tr>
      <w:tr>
        <w:tblPrEx>
          <w:tblCellMar>
            <w:top w:w="0" w:type="dxa"/>
            <w:left w:w="108" w:type="dxa"/>
            <w:bottom w:w="0" w:type="dxa"/>
            <w:right w:w="108" w:type="dxa"/>
          </w:tblCellMar>
        </w:tblPrEx>
        <w:trPr>
          <w:trHeight w:val="315" w:hRule="atLeast"/>
        </w:trPr>
        <w:tc>
          <w:tcPr>
            <w:tcW w:w="78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2316"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26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山地丘陵区农村切坡建房排查</w:t>
            </w:r>
          </w:p>
        </w:tc>
        <w:tc>
          <w:tcPr>
            <w:tcW w:w="461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将农村切坡建房情况数据库及照片集，通过光盘形式报送省地质环境监测中心</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2021-2021</w:t>
            </w:r>
            <w:r>
              <w:rPr>
                <w:rFonts w:hint="eastAsia" w:ascii="Times New Roman" w:hAnsi="Times New Roman" w:eastAsia="仿宋_GB2312" w:cs="仿宋_GB2312"/>
                <w:kern w:val="0"/>
                <w:szCs w:val="21"/>
              </w:rPr>
              <w:t>年底</w:t>
            </w:r>
          </w:p>
        </w:tc>
        <w:tc>
          <w:tcPr>
            <w:tcW w:w="2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100</w:t>
            </w:r>
          </w:p>
        </w:tc>
      </w:tr>
      <w:tr>
        <w:tblPrEx>
          <w:tblCellMar>
            <w:top w:w="0" w:type="dxa"/>
            <w:left w:w="108" w:type="dxa"/>
            <w:bottom w:w="0" w:type="dxa"/>
            <w:right w:w="108" w:type="dxa"/>
          </w:tblCellMar>
        </w:tblPrEx>
        <w:trPr>
          <w:trHeight w:val="315" w:hRule="atLeast"/>
        </w:trPr>
        <w:tc>
          <w:tcPr>
            <w:tcW w:w="781"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2316" w:type="dxa"/>
            <w:vMerge w:val="continue"/>
            <w:tcBorders>
              <w:left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26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1:2000</w:t>
            </w:r>
            <w:r>
              <w:rPr>
                <w:rFonts w:hint="eastAsia" w:ascii="Times New Roman" w:hAnsi="Times New Roman" w:eastAsia="仿宋_GB2312" w:cs="仿宋_GB2312"/>
                <w:kern w:val="0"/>
                <w:szCs w:val="21"/>
              </w:rPr>
              <w:t>地质灾害风险调查评价</w:t>
            </w:r>
          </w:p>
        </w:tc>
        <w:tc>
          <w:tcPr>
            <w:tcW w:w="461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完成桃溪、坦洪等</w:t>
            </w:r>
            <w:r>
              <w:rPr>
                <w:rFonts w:ascii="Times New Roman" w:hAnsi="Times New Roman" w:eastAsia="仿宋_GB2312" w:cs="仿宋_GB2312"/>
                <w:kern w:val="0"/>
                <w:szCs w:val="21"/>
              </w:rPr>
              <w:t>5</w:t>
            </w:r>
            <w:r>
              <w:rPr>
                <w:rFonts w:hint="eastAsia" w:ascii="Times New Roman" w:hAnsi="Times New Roman" w:eastAsia="仿宋_GB2312" w:cs="仿宋_GB2312"/>
                <w:kern w:val="0"/>
                <w:szCs w:val="21"/>
              </w:rPr>
              <w:t>个乡（镇、街道）地质灾害风险调查评价。</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2021-2025</w:t>
            </w:r>
          </w:p>
        </w:tc>
        <w:tc>
          <w:tcPr>
            <w:tcW w:w="2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1000</w:t>
            </w:r>
          </w:p>
        </w:tc>
      </w:tr>
      <w:tr>
        <w:tblPrEx>
          <w:tblCellMar>
            <w:top w:w="0" w:type="dxa"/>
            <w:left w:w="108" w:type="dxa"/>
            <w:bottom w:w="0" w:type="dxa"/>
            <w:right w:w="108" w:type="dxa"/>
          </w:tblCellMar>
        </w:tblPrEx>
        <w:trPr>
          <w:trHeight w:val="315" w:hRule="atLeast"/>
        </w:trPr>
        <w:tc>
          <w:tcPr>
            <w:tcW w:w="781"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231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p>
        </w:tc>
        <w:tc>
          <w:tcPr>
            <w:tcW w:w="26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Times New Roman"/>
                <w:kern w:val="0"/>
                <w:szCs w:val="21"/>
              </w:rPr>
              <w:t>建立城市地面塌陷案例库</w:t>
            </w:r>
          </w:p>
        </w:tc>
        <w:tc>
          <w:tcPr>
            <w:tcW w:w="4614"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仿宋_GB2312" w:cs="仿宋_GB2312"/>
                <w:kern w:val="0"/>
                <w:szCs w:val="21"/>
              </w:rPr>
            </w:pPr>
            <w:r>
              <w:rPr>
                <w:rFonts w:hint="eastAsia" w:ascii="Times New Roman" w:hAnsi="Times New Roman" w:eastAsia="仿宋_GB2312" w:cs="Times New Roman"/>
                <w:kern w:val="0"/>
                <w:szCs w:val="21"/>
              </w:rPr>
              <w:t>收集编制全区地面塌陷灾害案例，分析其隐患现状、地质背景及发生原因，总结发育发生规律，提出城市地质安全风险防范措施与建议，配合全市开展一张图的编制。</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Times New Roman"/>
                <w:kern w:val="0"/>
                <w:sz w:val="18"/>
                <w:szCs w:val="18"/>
              </w:rPr>
              <w:t>2</w:t>
            </w:r>
            <w:r>
              <w:rPr>
                <w:rFonts w:ascii="Times New Roman" w:hAnsi="Times New Roman" w:eastAsia="仿宋_GB2312" w:cs="Times New Roman"/>
                <w:kern w:val="0"/>
                <w:sz w:val="18"/>
                <w:szCs w:val="18"/>
              </w:rPr>
              <w:t>021-2021</w:t>
            </w:r>
            <w:r>
              <w:rPr>
                <w:rFonts w:hint="eastAsia" w:ascii="Times New Roman" w:hAnsi="Times New Roman" w:eastAsia="仿宋_GB2312" w:cs="Times New Roman"/>
                <w:kern w:val="0"/>
                <w:sz w:val="18"/>
                <w:szCs w:val="18"/>
              </w:rPr>
              <w:t>年6月</w:t>
            </w:r>
          </w:p>
        </w:tc>
        <w:tc>
          <w:tcPr>
            <w:tcW w:w="2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57</w:t>
            </w:r>
          </w:p>
        </w:tc>
      </w:tr>
      <w:tr>
        <w:tblPrEx>
          <w:tblCellMar>
            <w:top w:w="0" w:type="dxa"/>
            <w:left w:w="108" w:type="dxa"/>
            <w:bottom w:w="0" w:type="dxa"/>
            <w:right w:w="108" w:type="dxa"/>
          </w:tblCellMar>
        </w:tblPrEx>
        <w:trPr>
          <w:trHeight w:val="315" w:hRule="atLeast"/>
        </w:trPr>
        <w:tc>
          <w:tcPr>
            <w:tcW w:w="7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w:t>
            </w:r>
          </w:p>
        </w:tc>
        <w:tc>
          <w:tcPr>
            <w:tcW w:w="2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地质灾害监测网</w:t>
            </w:r>
          </w:p>
        </w:tc>
        <w:tc>
          <w:tcPr>
            <w:tcW w:w="26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地质灾害专业监测点</w:t>
            </w:r>
          </w:p>
        </w:tc>
        <w:tc>
          <w:tcPr>
            <w:tcW w:w="4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累计建成</w:t>
            </w:r>
            <w:r>
              <w:rPr>
                <w:rFonts w:ascii="Times New Roman" w:hAnsi="Times New Roman" w:eastAsia="仿宋_GB2312" w:cs="仿宋_GB2312"/>
                <w:kern w:val="0"/>
                <w:szCs w:val="21"/>
              </w:rPr>
              <w:t>16</w:t>
            </w:r>
            <w:r>
              <w:rPr>
                <w:rFonts w:hint="eastAsia" w:ascii="Times New Roman" w:hAnsi="Times New Roman" w:eastAsia="仿宋_GB2312" w:cs="仿宋_GB2312"/>
                <w:kern w:val="0"/>
                <w:szCs w:val="21"/>
              </w:rPr>
              <w:t>个，新增</w:t>
            </w:r>
            <w:r>
              <w:rPr>
                <w:rFonts w:ascii="Times New Roman" w:hAnsi="Times New Roman" w:eastAsia="仿宋_GB2312" w:cs="仿宋_GB2312"/>
                <w:kern w:val="0"/>
                <w:szCs w:val="21"/>
              </w:rPr>
              <w:t>11</w:t>
            </w:r>
            <w:r>
              <w:rPr>
                <w:rFonts w:hint="eastAsia" w:ascii="Times New Roman" w:hAnsi="Times New Roman" w:eastAsia="仿宋_GB2312" w:cs="仿宋_GB2312"/>
                <w:kern w:val="0"/>
                <w:szCs w:val="21"/>
              </w:rPr>
              <w:t>个</w:t>
            </w:r>
          </w:p>
        </w:tc>
        <w:tc>
          <w:tcPr>
            <w:tcW w:w="144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2021-2025</w:t>
            </w:r>
          </w:p>
        </w:tc>
        <w:tc>
          <w:tcPr>
            <w:tcW w:w="2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240</w:t>
            </w:r>
          </w:p>
        </w:tc>
      </w:tr>
      <w:tr>
        <w:tblPrEx>
          <w:tblCellMar>
            <w:top w:w="0" w:type="dxa"/>
            <w:left w:w="108" w:type="dxa"/>
            <w:bottom w:w="0" w:type="dxa"/>
            <w:right w:w="108" w:type="dxa"/>
          </w:tblCellMar>
        </w:tblPrEx>
        <w:trPr>
          <w:trHeight w:val="315" w:hRule="atLeast"/>
        </w:trPr>
        <w:tc>
          <w:tcPr>
            <w:tcW w:w="7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kern w:val="0"/>
                <w:szCs w:val="21"/>
              </w:rPr>
            </w:pPr>
          </w:p>
        </w:tc>
        <w:tc>
          <w:tcPr>
            <w:tcW w:w="231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kern w:val="0"/>
                <w:szCs w:val="21"/>
              </w:rPr>
            </w:pPr>
          </w:p>
        </w:tc>
        <w:tc>
          <w:tcPr>
            <w:tcW w:w="26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山区雨量自动监测站</w:t>
            </w:r>
          </w:p>
        </w:tc>
        <w:tc>
          <w:tcPr>
            <w:tcW w:w="4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新增建成</w:t>
            </w:r>
            <w:r>
              <w:rPr>
                <w:rFonts w:ascii="Times New Roman" w:hAnsi="Times New Roman" w:eastAsia="仿宋_GB2312" w:cs="仿宋_GB2312"/>
                <w:kern w:val="0"/>
                <w:szCs w:val="21"/>
              </w:rPr>
              <w:t>16</w:t>
            </w:r>
            <w:r>
              <w:rPr>
                <w:rFonts w:hint="eastAsia" w:ascii="Times New Roman" w:hAnsi="Times New Roman" w:eastAsia="仿宋_GB2312" w:cs="仿宋_GB2312"/>
                <w:kern w:val="0"/>
                <w:szCs w:val="21"/>
              </w:rPr>
              <w:t>个</w:t>
            </w:r>
          </w:p>
        </w:tc>
        <w:tc>
          <w:tcPr>
            <w:tcW w:w="144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2021-2025</w:t>
            </w:r>
          </w:p>
        </w:tc>
        <w:tc>
          <w:tcPr>
            <w:tcW w:w="2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72</w:t>
            </w:r>
          </w:p>
        </w:tc>
      </w:tr>
      <w:tr>
        <w:tblPrEx>
          <w:tblCellMar>
            <w:top w:w="0" w:type="dxa"/>
            <w:left w:w="108" w:type="dxa"/>
            <w:bottom w:w="0" w:type="dxa"/>
            <w:right w:w="108" w:type="dxa"/>
          </w:tblCellMar>
        </w:tblPrEx>
        <w:trPr>
          <w:trHeight w:val="315" w:hRule="atLeast"/>
        </w:trPr>
        <w:tc>
          <w:tcPr>
            <w:tcW w:w="7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kern w:val="0"/>
                <w:szCs w:val="21"/>
              </w:rPr>
            </w:pPr>
          </w:p>
        </w:tc>
        <w:tc>
          <w:tcPr>
            <w:tcW w:w="231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kern w:val="0"/>
                <w:szCs w:val="21"/>
              </w:rPr>
            </w:pPr>
          </w:p>
        </w:tc>
        <w:tc>
          <w:tcPr>
            <w:tcW w:w="26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Times New Roman"/>
                <w:kern w:val="0"/>
                <w:szCs w:val="21"/>
              </w:rPr>
              <w:t>地下水监测井</w:t>
            </w:r>
          </w:p>
        </w:tc>
        <w:tc>
          <w:tcPr>
            <w:tcW w:w="4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Times New Roman"/>
                <w:kern w:val="0"/>
                <w:szCs w:val="21"/>
              </w:rPr>
              <w:t>累计</w:t>
            </w:r>
            <w:r>
              <w:rPr>
                <w:rFonts w:ascii="Times New Roman" w:hAnsi="Times New Roman" w:eastAsia="仿宋_GB2312" w:cs="Times New Roman"/>
                <w:kern w:val="0"/>
                <w:szCs w:val="21"/>
              </w:rPr>
              <w:t>32</w:t>
            </w:r>
            <w:r>
              <w:rPr>
                <w:rFonts w:hint="eastAsia" w:ascii="Times New Roman" w:hAnsi="Times New Roman" w:eastAsia="仿宋_GB2312" w:cs="Times New Roman"/>
                <w:kern w:val="0"/>
                <w:szCs w:val="21"/>
              </w:rPr>
              <w:t>个</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Times New Roman"/>
                <w:kern w:val="0"/>
                <w:szCs w:val="21"/>
              </w:rPr>
              <w:t>2021-2025</w:t>
            </w:r>
          </w:p>
        </w:tc>
        <w:tc>
          <w:tcPr>
            <w:tcW w:w="2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91</w:t>
            </w:r>
          </w:p>
        </w:tc>
      </w:tr>
      <w:tr>
        <w:tblPrEx>
          <w:tblCellMar>
            <w:top w:w="0" w:type="dxa"/>
            <w:left w:w="108" w:type="dxa"/>
            <w:bottom w:w="0" w:type="dxa"/>
            <w:right w:w="108" w:type="dxa"/>
          </w:tblCellMar>
        </w:tblPrEx>
        <w:trPr>
          <w:trHeight w:val="315" w:hRule="atLeast"/>
        </w:trPr>
        <w:tc>
          <w:tcPr>
            <w:tcW w:w="7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kern w:val="0"/>
                <w:szCs w:val="21"/>
              </w:rPr>
            </w:pPr>
          </w:p>
        </w:tc>
        <w:tc>
          <w:tcPr>
            <w:tcW w:w="231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kern w:val="0"/>
                <w:szCs w:val="21"/>
              </w:rPr>
            </w:pPr>
          </w:p>
        </w:tc>
        <w:tc>
          <w:tcPr>
            <w:tcW w:w="26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地质灾害队伍建设</w:t>
            </w:r>
          </w:p>
        </w:tc>
        <w:tc>
          <w:tcPr>
            <w:tcW w:w="4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不少于</w:t>
            </w:r>
            <w:r>
              <w:rPr>
                <w:rFonts w:ascii="Times New Roman" w:hAnsi="Times New Roman" w:eastAsia="仿宋_GB2312" w:cs="仿宋_GB2312"/>
                <w:kern w:val="0"/>
                <w:szCs w:val="21"/>
              </w:rPr>
              <w:t>200</w:t>
            </w:r>
            <w:r>
              <w:rPr>
                <w:rFonts w:hint="eastAsia" w:ascii="Times New Roman" w:hAnsi="Times New Roman" w:eastAsia="仿宋_GB2312" w:cs="仿宋_GB2312"/>
                <w:kern w:val="0"/>
                <w:szCs w:val="21"/>
              </w:rPr>
              <w:t>人</w:t>
            </w:r>
          </w:p>
        </w:tc>
        <w:tc>
          <w:tcPr>
            <w:tcW w:w="144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2021-2025</w:t>
            </w:r>
          </w:p>
        </w:tc>
        <w:tc>
          <w:tcPr>
            <w:tcW w:w="2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320</w:t>
            </w:r>
          </w:p>
        </w:tc>
      </w:tr>
      <w:tr>
        <w:tblPrEx>
          <w:tblCellMar>
            <w:top w:w="0" w:type="dxa"/>
            <w:left w:w="108" w:type="dxa"/>
            <w:bottom w:w="0" w:type="dxa"/>
            <w:right w:w="108" w:type="dxa"/>
          </w:tblCellMar>
        </w:tblPrEx>
        <w:trPr>
          <w:trHeight w:val="315" w:hRule="atLeast"/>
        </w:trPr>
        <w:tc>
          <w:tcPr>
            <w:tcW w:w="7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kern w:val="0"/>
                <w:szCs w:val="21"/>
              </w:rPr>
            </w:pPr>
          </w:p>
        </w:tc>
        <w:tc>
          <w:tcPr>
            <w:tcW w:w="231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kern w:val="0"/>
                <w:szCs w:val="21"/>
              </w:rPr>
            </w:pPr>
          </w:p>
        </w:tc>
        <w:tc>
          <w:tcPr>
            <w:tcW w:w="26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地质灾害宣传培训</w:t>
            </w:r>
          </w:p>
        </w:tc>
        <w:tc>
          <w:tcPr>
            <w:tcW w:w="461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3000</w:t>
            </w:r>
            <w:r>
              <w:rPr>
                <w:rFonts w:hint="eastAsia" w:ascii="Times New Roman" w:hAnsi="Times New Roman" w:eastAsia="仿宋_GB2312" w:cs="仿宋_GB2312"/>
                <w:kern w:val="0"/>
                <w:szCs w:val="21"/>
              </w:rPr>
              <w:t>人次</w:t>
            </w:r>
          </w:p>
        </w:tc>
        <w:tc>
          <w:tcPr>
            <w:tcW w:w="144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2021-2025</w:t>
            </w:r>
          </w:p>
        </w:tc>
        <w:tc>
          <w:tcPr>
            <w:tcW w:w="2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80</w:t>
            </w:r>
          </w:p>
        </w:tc>
      </w:tr>
      <w:tr>
        <w:tblPrEx>
          <w:tblCellMar>
            <w:top w:w="0" w:type="dxa"/>
            <w:left w:w="108" w:type="dxa"/>
            <w:bottom w:w="0" w:type="dxa"/>
            <w:right w:w="108" w:type="dxa"/>
          </w:tblCellMar>
        </w:tblPrEx>
        <w:trPr>
          <w:trHeight w:val="315" w:hRule="atLeast"/>
        </w:trPr>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3</w:t>
            </w:r>
          </w:p>
        </w:tc>
        <w:tc>
          <w:tcPr>
            <w:tcW w:w="2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地质灾害综合治理工程</w:t>
            </w:r>
          </w:p>
        </w:tc>
        <w:tc>
          <w:tcPr>
            <w:tcW w:w="2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地质灾害综合治理</w:t>
            </w:r>
          </w:p>
        </w:tc>
        <w:tc>
          <w:tcPr>
            <w:tcW w:w="4614"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实施地质灾害综合治理</w:t>
            </w:r>
            <w:r>
              <w:rPr>
                <w:rFonts w:ascii="Times New Roman" w:hAnsi="Times New Roman" w:eastAsia="仿宋_GB2312" w:cs="仿宋_GB2312"/>
                <w:kern w:val="0"/>
                <w:szCs w:val="21"/>
              </w:rPr>
              <w:t>11</w:t>
            </w:r>
            <w:r>
              <w:rPr>
                <w:rFonts w:hint="eastAsia" w:ascii="Times New Roman" w:hAnsi="Times New Roman" w:eastAsia="仿宋_GB2312" w:cs="仿宋_GB2312"/>
                <w:kern w:val="0"/>
                <w:szCs w:val="21"/>
              </w:rPr>
              <w:t>处。按照“即查即治”的要求，深入开展地质灾害隐患点避让搬迁和工程治理，及时消除地质灾害隐患。</w:t>
            </w:r>
          </w:p>
        </w:tc>
        <w:tc>
          <w:tcPr>
            <w:tcW w:w="14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2021-2025</w:t>
            </w:r>
          </w:p>
        </w:tc>
        <w:tc>
          <w:tcPr>
            <w:tcW w:w="21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1500</w:t>
            </w:r>
          </w:p>
        </w:tc>
      </w:tr>
      <w:tr>
        <w:tblPrEx>
          <w:tblCellMar>
            <w:top w:w="0" w:type="dxa"/>
            <w:left w:w="108" w:type="dxa"/>
            <w:bottom w:w="0" w:type="dxa"/>
            <w:right w:w="108" w:type="dxa"/>
          </w:tblCellMar>
        </w:tblPrEx>
        <w:trPr>
          <w:trHeight w:val="315" w:hRule="atLeast"/>
        </w:trPr>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4</w:t>
            </w:r>
          </w:p>
        </w:tc>
        <w:tc>
          <w:tcPr>
            <w:tcW w:w="2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地质灾害危险性评估</w:t>
            </w:r>
          </w:p>
        </w:tc>
        <w:tc>
          <w:tcPr>
            <w:tcW w:w="2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地质灾害危险性评估</w:t>
            </w:r>
          </w:p>
        </w:tc>
        <w:tc>
          <w:tcPr>
            <w:tcW w:w="4614"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对城市总体规划、镇总体规划、乡规划、村庄规划和工程建设实施地质灾害危险性评估制度，从源头上防范地质灾害，推动相关管理部门和防治主体，落实防灾责任和防治措施，落实地质灾害防治工程“三同时”，有效避免入为活动引发地质灾害。易发区内地质灾害评估率要达到</w:t>
            </w:r>
            <w:r>
              <w:rPr>
                <w:rFonts w:ascii="Times New Roman" w:hAnsi="Times New Roman" w:eastAsia="仿宋_GB2312" w:cs="仿宋_GB2312"/>
                <w:kern w:val="0"/>
                <w:szCs w:val="21"/>
              </w:rPr>
              <w:t>100%</w:t>
            </w:r>
            <w:r>
              <w:rPr>
                <w:rFonts w:hint="eastAsia" w:ascii="Times New Roman" w:hAnsi="Times New Roman" w:eastAsia="仿宋_GB2312" w:cs="仿宋_GB2312"/>
                <w:kern w:val="0"/>
                <w:szCs w:val="21"/>
              </w:rPr>
              <w:t>。</w:t>
            </w:r>
          </w:p>
        </w:tc>
        <w:tc>
          <w:tcPr>
            <w:tcW w:w="14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2021-2025</w:t>
            </w:r>
          </w:p>
        </w:tc>
        <w:tc>
          <w:tcPr>
            <w:tcW w:w="21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400</w:t>
            </w:r>
          </w:p>
        </w:tc>
      </w:tr>
      <w:tr>
        <w:tblPrEx>
          <w:tblCellMar>
            <w:top w:w="0" w:type="dxa"/>
            <w:left w:w="108" w:type="dxa"/>
            <w:bottom w:w="0" w:type="dxa"/>
            <w:right w:w="108" w:type="dxa"/>
          </w:tblCellMar>
        </w:tblPrEx>
        <w:trPr>
          <w:trHeight w:val="945" w:hRule="atLeast"/>
        </w:trPr>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5</w:t>
            </w:r>
          </w:p>
        </w:tc>
        <w:tc>
          <w:tcPr>
            <w:tcW w:w="2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地质灾害人才工程</w:t>
            </w:r>
          </w:p>
        </w:tc>
        <w:tc>
          <w:tcPr>
            <w:tcW w:w="2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深入开展“驻县进乡”</w:t>
            </w:r>
          </w:p>
        </w:tc>
        <w:tc>
          <w:tcPr>
            <w:tcW w:w="461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建立市地质灾害应急救援专业队伍，与基层管理员、群测群防员形成联动，发挥专业技术人员在“四查”和宣传培训中的指导作用，不断提升防灾队伍战斗力</w:t>
            </w:r>
          </w:p>
        </w:tc>
        <w:tc>
          <w:tcPr>
            <w:tcW w:w="14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2021-2025</w:t>
            </w:r>
          </w:p>
        </w:tc>
        <w:tc>
          <w:tcPr>
            <w:tcW w:w="21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2</w:t>
            </w:r>
            <w:r>
              <w:rPr>
                <w:rFonts w:ascii="Times New Roman" w:hAnsi="Times New Roman" w:eastAsia="仿宋_GB2312" w:cs="仿宋_GB2312"/>
                <w:kern w:val="0"/>
                <w:szCs w:val="21"/>
              </w:rPr>
              <w:t>00</w:t>
            </w:r>
          </w:p>
        </w:tc>
      </w:tr>
      <w:tr>
        <w:tblPrEx>
          <w:tblCellMar>
            <w:top w:w="0" w:type="dxa"/>
            <w:left w:w="108" w:type="dxa"/>
            <w:bottom w:w="0" w:type="dxa"/>
            <w:right w:w="108" w:type="dxa"/>
          </w:tblCellMar>
        </w:tblPrEx>
        <w:trPr>
          <w:trHeight w:val="945" w:hRule="atLeast"/>
        </w:trPr>
        <w:tc>
          <w:tcPr>
            <w:tcW w:w="7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6</w:t>
            </w:r>
          </w:p>
        </w:tc>
        <w:tc>
          <w:tcPr>
            <w:tcW w:w="23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地质灾害风险管控工程</w:t>
            </w:r>
          </w:p>
        </w:tc>
        <w:tc>
          <w:tcPr>
            <w:tcW w:w="26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地质灾害“风险码”管理机制</w:t>
            </w:r>
          </w:p>
        </w:tc>
        <w:tc>
          <w:tcPr>
            <w:tcW w:w="461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建成基于国土空间规划管控的全区地质灾害风险防范区“风险”管理信息系统</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2021-2025</w:t>
            </w:r>
          </w:p>
        </w:tc>
        <w:tc>
          <w:tcPr>
            <w:tcW w:w="2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100</w:t>
            </w:r>
          </w:p>
        </w:tc>
      </w:tr>
      <w:tr>
        <w:tblPrEx>
          <w:tblCellMar>
            <w:top w:w="0" w:type="dxa"/>
            <w:left w:w="108" w:type="dxa"/>
            <w:bottom w:w="0" w:type="dxa"/>
            <w:right w:w="108" w:type="dxa"/>
          </w:tblCellMar>
        </w:tblPrEx>
        <w:trPr>
          <w:trHeight w:val="630" w:hRule="atLeast"/>
        </w:trPr>
        <w:tc>
          <w:tcPr>
            <w:tcW w:w="7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kern w:val="0"/>
                <w:szCs w:val="21"/>
              </w:rPr>
            </w:pPr>
          </w:p>
        </w:tc>
        <w:tc>
          <w:tcPr>
            <w:tcW w:w="231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仿宋_GB2312"/>
                <w:kern w:val="0"/>
                <w:szCs w:val="21"/>
              </w:rPr>
            </w:pPr>
          </w:p>
        </w:tc>
        <w:tc>
          <w:tcPr>
            <w:tcW w:w="26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地质灾害风险管控平台</w:t>
            </w:r>
          </w:p>
        </w:tc>
        <w:tc>
          <w:tcPr>
            <w:tcW w:w="461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r>
              <w:rPr>
                <w:rFonts w:hint="eastAsia" w:ascii="Times New Roman" w:hAnsi="Times New Roman" w:eastAsia="仿宋_GB2312" w:cs="仿宋_GB2312"/>
                <w:kern w:val="0"/>
                <w:szCs w:val="21"/>
              </w:rPr>
              <w:t>配合省里建设地质灾害风险管控平台</w:t>
            </w:r>
          </w:p>
        </w:tc>
        <w:tc>
          <w:tcPr>
            <w:tcW w:w="1445" w:type="dxa"/>
            <w:tcBorders>
              <w:top w:val="nil"/>
              <w:left w:val="nil"/>
              <w:bottom w:val="single" w:color="auto" w:sz="4" w:space="0"/>
              <w:right w:val="single" w:color="auto" w:sz="4" w:space="0"/>
            </w:tcBorders>
            <w:shd w:val="clear" w:color="auto" w:fill="auto"/>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2021-2025</w:t>
            </w:r>
          </w:p>
        </w:tc>
        <w:tc>
          <w:tcPr>
            <w:tcW w:w="2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2</w:t>
            </w:r>
            <w:r>
              <w:rPr>
                <w:rFonts w:ascii="Times New Roman" w:hAnsi="Times New Roman" w:eastAsia="仿宋_GB2312" w:cs="仿宋_GB2312"/>
                <w:kern w:val="0"/>
                <w:szCs w:val="21"/>
              </w:rPr>
              <w:t>00</w:t>
            </w:r>
          </w:p>
        </w:tc>
      </w:tr>
      <w:tr>
        <w:tblPrEx>
          <w:tblCellMar>
            <w:top w:w="0" w:type="dxa"/>
            <w:left w:w="108" w:type="dxa"/>
            <w:bottom w:w="0" w:type="dxa"/>
            <w:right w:w="108" w:type="dxa"/>
          </w:tblCellMar>
        </w:tblPrEx>
        <w:trPr>
          <w:trHeight w:val="630"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7</w:t>
            </w:r>
          </w:p>
        </w:tc>
        <w:tc>
          <w:tcPr>
            <w:tcW w:w="231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应急预案演练</w:t>
            </w:r>
          </w:p>
        </w:tc>
        <w:tc>
          <w:tcPr>
            <w:tcW w:w="261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应急预案演练</w:t>
            </w:r>
          </w:p>
        </w:tc>
        <w:tc>
          <w:tcPr>
            <w:tcW w:w="461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应急预案规划期至少组织一次演练，重点、次重点地质灾害风险防范区每年开展一次演练，切实提高山区群众应急避险能力。</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2021-2025</w:t>
            </w:r>
          </w:p>
        </w:tc>
        <w:tc>
          <w:tcPr>
            <w:tcW w:w="218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600</w:t>
            </w:r>
          </w:p>
        </w:tc>
      </w:tr>
      <w:tr>
        <w:tblPrEx>
          <w:tblCellMar>
            <w:top w:w="0" w:type="dxa"/>
            <w:left w:w="108" w:type="dxa"/>
            <w:bottom w:w="0" w:type="dxa"/>
            <w:right w:w="108" w:type="dxa"/>
          </w:tblCellMar>
        </w:tblPrEx>
        <w:trPr>
          <w:trHeight w:val="630" w:hRule="atLeast"/>
        </w:trPr>
        <w:tc>
          <w:tcPr>
            <w:tcW w:w="11767"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仿宋_GB2312"/>
                <w:kern w:val="0"/>
                <w:szCs w:val="21"/>
              </w:rPr>
            </w:pPr>
            <w:r>
              <w:rPr>
                <w:rFonts w:hint="eastAsia" w:ascii="Times New Roman" w:hAnsi="Times New Roman" w:eastAsia="仿宋_GB2312" w:cs="仿宋_GB2312"/>
                <w:kern w:val="0"/>
                <w:szCs w:val="21"/>
              </w:rPr>
              <w:t>合计</w:t>
            </w:r>
          </w:p>
        </w:tc>
        <w:tc>
          <w:tcPr>
            <w:tcW w:w="21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仿宋_GB2312"/>
                <w:kern w:val="0"/>
                <w:szCs w:val="21"/>
              </w:rPr>
            </w:pPr>
            <w:r>
              <w:rPr>
                <w:rFonts w:ascii="Times New Roman" w:hAnsi="Times New Roman" w:eastAsia="仿宋_GB2312" w:cs="仿宋_GB2312"/>
                <w:kern w:val="0"/>
                <w:szCs w:val="21"/>
              </w:rPr>
              <w:t>5075</w:t>
            </w:r>
          </w:p>
        </w:tc>
      </w:tr>
    </w:tbl>
    <w:p>
      <w:pPr>
        <w:tabs>
          <w:tab w:val="left" w:pos="747"/>
        </w:tabs>
        <w:jc w:val="left"/>
      </w:pPr>
    </w:p>
    <w:sectPr>
      <w:footerReference r:id="rId5" w:type="default"/>
      <w:footerReference r:id="rId6"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4576855"/>
    </w:sdtPr>
    <w:sdtContent>
      <w:p>
        <w:pPr>
          <w:pStyle w:val="8"/>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4013116"/>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3356282"/>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3216776"/>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5MzQ4OTlmMjI3MTIxNjQ5Njg0NjA2NDQ3MGIyZDYifQ=="/>
  </w:docVars>
  <w:rsids>
    <w:rsidRoot w:val="00003121"/>
    <w:rsid w:val="000009E4"/>
    <w:rsid w:val="000018D7"/>
    <w:rsid w:val="00001D98"/>
    <w:rsid w:val="00003121"/>
    <w:rsid w:val="00004224"/>
    <w:rsid w:val="00006CC0"/>
    <w:rsid w:val="00017593"/>
    <w:rsid w:val="00021BFB"/>
    <w:rsid w:val="00021DC4"/>
    <w:rsid w:val="00024B63"/>
    <w:rsid w:val="0003111B"/>
    <w:rsid w:val="00034B87"/>
    <w:rsid w:val="00036BE6"/>
    <w:rsid w:val="00040331"/>
    <w:rsid w:val="00042DED"/>
    <w:rsid w:val="0004533E"/>
    <w:rsid w:val="00046DF2"/>
    <w:rsid w:val="00065009"/>
    <w:rsid w:val="0006614A"/>
    <w:rsid w:val="000703D5"/>
    <w:rsid w:val="0007634B"/>
    <w:rsid w:val="00081C4F"/>
    <w:rsid w:val="00081CAF"/>
    <w:rsid w:val="00082667"/>
    <w:rsid w:val="000833CB"/>
    <w:rsid w:val="00084C11"/>
    <w:rsid w:val="00084FD9"/>
    <w:rsid w:val="000871A8"/>
    <w:rsid w:val="00092162"/>
    <w:rsid w:val="000971D8"/>
    <w:rsid w:val="000A2BCA"/>
    <w:rsid w:val="000A4050"/>
    <w:rsid w:val="000A4EFA"/>
    <w:rsid w:val="000A70F9"/>
    <w:rsid w:val="000B3586"/>
    <w:rsid w:val="000B687E"/>
    <w:rsid w:val="000C191C"/>
    <w:rsid w:val="000C41A9"/>
    <w:rsid w:val="000C54F4"/>
    <w:rsid w:val="000C623C"/>
    <w:rsid w:val="000C69B2"/>
    <w:rsid w:val="000D47B4"/>
    <w:rsid w:val="000D4ACE"/>
    <w:rsid w:val="000E0813"/>
    <w:rsid w:val="000E0F9B"/>
    <w:rsid w:val="000E7128"/>
    <w:rsid w:val="000F0B66"/>
    <w:rsid w:val="000F4A74"/>
    <w:rsid w:val="000F589A"/>
    <w:rsid w:val="00101158"/>
    <w:rsid w:val="00102DB9"/>
    <w:rsid w:val="00102F91"/>
    <w:rsid w:val="00103941"/>
    <w:rsid w:val="00110B3B"/>
    <w:rsid w:val="0012094E"/>
    <w:rsid w:val="00123C52"/>
    <w:rsid w:val="001264D8"/>
    <w:rsid w:val="00130A11"/>
    <w:rsid w:val="00130A44"/>
    <w:rsid w:val="0013572E"/>
    <w:rsid w:val="00136362"/>
    <w:rsid w:val="00136AF4"/>
    <w:rsid w:val="001403DE"/>
    <w:rsid w:val="001421D9"/>
    <w:rsid w:val="00147725"/>
    <w:rsid w:val="001513B2"/>
    <w:rsid w:val="0015180B"/>
    <w:rsid w:val="00157480"/>
    <w:rsid w:val="00160B65"/>
    <w:rsid w:val="0016696C"/>
    <w:rsid w:val="00166B57"/>
    <w:rsid w:val="001829C3"/>
    <w:rsid w:val="00183236"/>
    <w:rsid w:val="0018536F"/>
    <w:rsid w:val="0018671C"/>
    <w:rsid w:val="00187295"/>
    <w:rsid w:val="00190A91"/>
    <w:rsid w:val="00192343"/>
    <w:rsid w:val="00193793"/>
    <w:rsid w:val="001A2C92"/>
    <w:rsid w:val="001A3D47"/>
    <w:rsid w:val="001A7D60"/>
    <w:rsid w:val="001B38D7"/>
    <w:rsid w:val="001B634C"/>
    <w:rsid w:val="001C0251"/>
    <w:rsid w:val="001C1126"/>
    <w:rsid w:val="001C1CB5"/>
    <w:rsid w:val="001D2EBC"/>
    <w:rsid w:val="001D5ED6"/>
    <w:rsid w:val="001E4A92"/>
    <w:rsid w:val="001E6079"/>
    <w:rsid w:val="001E6DAE"/>
    <w:rsid w:val="001E730D"/>
    <w:rsid w:val="001F2355"/>
    <w:rsid w:val="001F57BB"/>
    <w:rsid w:val="00202850"/>
    <w:rsid w:val="002039B0"/>
    <w:rsid w:val="00205C86"/>
    <w:rsid w:val="00205CEC"/>
    <w:rsid w:val="00210E59"/>
    <w:rsid w:val="0021490B"/>
    <w:rsid w:val="00214F28"/>
    <w:rsid w:val="00215CAC"/>
    <w:rsid w:val="00222B2E"/>
    <w:rsid w:val="00223740"/>
    <w:rsid w:val="0022579D"/>
    <w:rsid w:val="0025068E"/>
    <w:rsid w:val="0025095E"/>
    <w:rsid w:val="00254932"/>
    <w:rsid w:val="00256C08"/>
    <w:rsid w:val="0026004B"/>
    <w:rsid w:val="00264505"/>
    <w:rsid w:val="00265266"/>
    <w:rsid w:val="002661CE"/>
    <w:rsid w:val="002708FB"/>
    <w:rsid w:val="00272A62"/>
    <w:rsid w:val="0027490C"/>
    <w:rsid w:val="00280459"/>
    <w:rsid w:val="00285B3F"/>
    <w:rsid w:val="00290180"/>
    <w:rsid w:val="00291E00"/>
    <w:rsid w:val="0029577E"/>
    <w:rsid w:val="002A01B8"/>
    <w:rsid w:val="002A0A5D"/>
    <w:rsid w:val="002A122D"/>
    <w:rsid w:val="002A5BC1"/>
    <w:rsid w:val="002C1959"/>
    <w:rsid w:val="002C3BC0"/>
    <w:rsid w:val="002C414A"/>
    <w:rsid w:val="002C4366"/>
    <w:rsid w:val="002C4F59"/>
    <w:rsid w:val="002C5925"/>
    <w:rsid w:val="002C5E17"/>
    <w:rsid w:val="002D10E2"/>
    <w:rsid w:val="002D218C"/>
    <w:rsid w:val="002D378A"/>
    <w:rsid w:val="002D4445"/>
    <w:rsid w:val="002D4DC0"/>
    <w:rsid w:val="002E05AA"/>
    <w:rsid w:val="002E4BFD"/>
    <w:rsid w:val="002E5F9C"/>
    <w:rsid w:val="002E6CDE"/>
    <w:rsid w:val="002F1430"/>
    <w:rsid w:val="002F24A9"/>
    <w:rsid w:val="002F2754"/>
    <w:rsid w:val="002F6505"/>
    <w:rsid w:val="00301DC6"/>
    <w:rsid w:val="00301FD2"/>
    <w:rsid w:val="00304618"/>
    <w:rsid w:val="00304CFB"/>
    <w:rsid w:val="003123C7"/>
    <w:rsid w:val="00314DF1"/>
    <w:rsid w:val="003153B8"/>
    <w:rsid w:val="003165FE"/>
    <w:rsid w:val="003241B3"/>
    <w:rsid w:val="003245A6"/>
    <w:rsid w:val="00326D7D"/>
    <w:rsid w:val="00332243"/>
    <w:rsid w:val="00332B0A"/>
    <w:rsid w:val="0033479C"/>
    <w:rsid w:val="0034118E"/>
    <w:rsid w:val="00352687"/>
    <w:rsid w:val="00354FB9"/>
    <w:rsid w:val="00356EF5"/>
    <w:rsid w:val="00357325"/>
    <w:rsid w:val="00366AFE"/>
    <w:rsid w:val="003723F3"/>
    <w:rsid w:val="00372BC0"/>
    <w:rsid w:val="00374596"/>
    <w:rsid w:val="00374C1A"/>
    <w:rsid w:val="003771C6"/>
    <w:rsid w:val="003809B1"/>
    <w:rsid w:val="00383018"/>
    <w:rsid w:val="003842C2"/>
    <w:rsid w:val="00387C2B"/>
    <w:rsid w:val="00392E36"/>
    <w:rsid w:val="003A125F"/>
    <w:rsid w:val="003A3D8E"/>
    <w:rsid w:val="003A57BB"/>
    <w:rsid w:val="003A5921"/>
    <w:rsid w:val="003A612D"/>
    <w:rsid w:val="003B006D"/>
    <w:rsid w:val="003B0662"/>
    <w:rsid w:val="003B4407"/>
    <w:rsid w:val="003C4A04"/>
    <w:rsid w:val="003C4E79"/>
    <w:rsid w:val="003C5A0E"/>
    <w:rsid w:val="003D1160"/>
    <w:rsid w:val="003D3EE3"/>
    <w:rsid w:val="003D7C50"/>
    <w:rsid w:val="003E2B63"/>
    <w:rsid w:val="003E35EE"/>
    <w:rsid w:val="003E7740"/>
    <w:rsid w:val="003F12D1"/>
    <w:rsid w:val="004116FE"/>
    <w:rsid w:val="00413256"/>
    <w:rsid w:val="004224C8"/>
    <w:rsid w:val="00422504"/>
    <w:rsid w:val="00422CAA"/>
    <w:rsid w:val="00426B48"/>
    <w:rsid w:val="00427846"/>
    <w:rsid w:val="0043236A"/>
    <w:rsid w:val="00435237"/>
    <w:rsid w:val="004356B5"/>
    <w:rsid w:val="004449CA"/>
    <w:rsid w:val="00447E2F"/>
    <w:rsid w:val="0045348E"/>
    <w:rsid w:val="00456EBA"/>
    <w:rsid w:val="00457D5B"/>
    <w:rsid w:val="00457FCA"/>
    <w:rsid w:val="004609B1"/>
    <w:rsid w:val="0046558B"/>
    <w:rsid w:val="004725DF"/>
    <w:rsid w:val="00485BC0"/>
    <w:rsid w:val="0049610C"/>
    <w:rsid w:val="0049772A"/>
    <w:rsid w:val="00497732"/>
    <w:rsid w:val="004A0720"/>
    <w:rsid w:val="004A2292"/>
    <w:rsid w:val="004A27F0"/>
    <w:rsid w:val="004A45F2"/>
    <w:rsid w:val="004A5768"/>
    <w:rsid w:val="004A62F7"/>
    <w:rsid w:val="004A7A07"/>
    <w:rsid w:val="004B10CD"/>
    <w:rsid w:val="004B447A"/>
    <w:rsid w:val="004B45B7"/>
    <w:rsid w:val="004B6AD6"/>
    <w:rsid w:val="004C0E6A"/>
    <w:rsid w:val="004C455A"/>
    <w:rsid w:val="004C7AE6"/>
    <w:rsid w:val="004D1DCE"/>
    <w:rsid w:val="004D426C"/>
    <w:rsid w:val="004D4630"/>
    <w:rsid w:val="004E1065"/>
    <w:rsid w:val="004E5622"/>
    <w:rsid w:val="004E6010"/>
    <w:rsid w:val="004E7845"/>
    <w:rsid w:val="004F3185"/>
    <w:rsid w:val="004F6A4C"/>
    <w:rsid w:val="0050630E"/>
    <w:rsid w:val="0051178E"/>
    <w:rsid w:val="00512984"/>
    <w:rsid w:val="00512B4C"/>
    <w:rsid w:val="00515C78"/>
    <w:rsid w:val="0052219A"/>
    <w:rsid w:val="00526207"/>
    <w:rsid w:val="005322AF"/>
    <w:rsid w:val="0053325B"/>
    <w:rsid w:val="00542656"/>
    <w:rsid w:val="00542F72"/>
    <w:rsid w:val="00545F1A"/>
    <w:rsid w:val="005605F3"/>
    <w:rsid w:val="0056163F"/>
    <w:rsid w:val="00562FAA"/>
    <w:rsid w:val="005638CA"/>
    <w:rsid w:val="00563C04"/>
    <w:rsid w:val="00564714"/>
    <w:rsid w:val="00575D7B"/>
    <w:rsid w:val="00580C0A"/>
    <w:rsid w:val="00586F6C"/>
    <w:rsid w:val="00590F74"/>
    <w:rsid w:val="0059115E"/>
    <w:rsid w:val="005920B0"/>
    <w:rsid w:val="005931FB"/>
    <w:rsid w:val="00596D4C"/>
    <w:rsid w:val="005B2FF1"/>
    <w:rsid w:val="005B389A"/>
    <w:rsid w:val="005C0493"/>
    <w:rsid w:val="005C5284"/>
    <w:rsid w:val="005C6DD1"/>
    <w:rsid w:val="005D34BE"/>
    <w:rsid w:val="005D4672"/>
    <w:rsid w:val="005D4F6A"/>
    <w:rsid w:val="005D57DB"/>
    <w:rsid w:val="005D5AEF"/>
    <w:rsid w:val="005F42A2"/>
    <w:rsid w:val="005F6A71"/>
    <w:rsid w:val="005F6D41"/>
    <w:rsid w:val="005F7A88"/>
    <w:rsid w:val="00601E8C"/>
    <w:rsid w:val="006050CA"/>
    <w:rsid w:val="0060579F"/>
    <w:rsid w:val="00606E45"/>
    <w:rsid w:val="006132C2"/>
    <w:rsid w:val="0061487B"/>
    <w:rsid w:val="006148E8"/>
    <w:rsid w:val="00616187"/>
    <w:rsid w:val="00616B6E"/>
    <w:rsid w:val="0062041D"/>
    <w:rsid w:val="00624796"/>
    <w:rsid w:val="006262B8"/>
    <w:rsid w:val="006326F7"/>
    <w:rsid w:val="00637649"/>
    <w:rsid w:val="00647D09"/>
    <w:rsid w:val="006606EE"/>
    <w:rsid w:val="00661FCE"/>
    <w:rsid w:val="00666AF5"/>
    <w:rsid w:val="00667DEB"/>
    <w:rsid w:val="00667E32"/>
    <w:rsid w:val="006766A3"/>
    <w:rsid w:val="006779CE"/>
    <w:rsid w:val="00681371"/>
    <w:rsid w:val="0068367F"/>
    <w:rsid w:val="00684F32"/>
    <w:rsid w:val="00692972"/>
    <w:rsid w:val="00695AED"/>
    <w:rsid w:val="006A5306"/>
    <w:rsid w:val="006B1547"/>
    <w:rsid w:val="006B15D7"/>
    <w:rsid w:val="006C38D1"/>
    <w:rsid w:val="006D06FA"/>
    <w:rsid w:val="006D5BB6"/>
    <w:rsid w:val="006E2FD9"/>
    <w:rsid w:val="006E3A6E"/>
    <w:rsid w:val="006F0233"/>
    <w:rsid w:val="006F1D0E"/>
    <w:rsid w:val="006F2EC6"/>
    <w:rsid w:val="006F57B6"/>
    <w:rsid w:val="006F6169"/>
    <w:rsid w:val="007003DC"/>
    <w:rsid w:val="00701D96"/>
    <w:rsid w:val="00702C03"/>
    <w:rsid w:val="007033A4"/>
    <w:rsid w:val="0070405D"/>
    <w:rsid w:val="00704DDB"/>
    <w:rsid w:val="00711844"/>
    <w:rsid w:val="00712768"/>
    <w:rsid w:val="0072733B"/>
    <w:rsid w:val="00727887"/>
    <w:rsid w:val="00734D9D"/>
    <w:rsid w:val="00741669"/>
    <w:rsid w:val="00744AB2"/>
    <w:rsid w:val="00745A2F"/>
    <w:rsid w:val="0074658C"/>
    <w:rsid w:val="00754A35"/>
    <w:rsid w:val="007551AE"/>
    <w:rsid w:val="007555C2"/>
    <w:rsid w:val="00756A38"/>
    <w:rsid w:val="00757D82"/>
    <w:rsid w:val="0076577C"/>
    <w:rsid w:val="00775621"/>
    <w:rsid w:val="007760A8"/>
    <w:rsid w:val="007800A9"/>
    <w:rsid w:val="00781E49"/>
    <w:rsid w:val="00791E41"/>
    <w:rsid w:val="00793D08"/>
    <w:rsid w:val="0079438F"/>
    <w:rsid w:val="00794BEB"/>
    <w:rsid w:val="00794F8C"/>
    <w:rsid w:val="007A0103"/>
    <w:rsid w:val="007A3BED"/>
    <w:rsid w:val="007A59DE"/>
    <w:rsid w:val="007B0AE3"/>
    <w:rsid w:val="007B18D0"/>
    <w:rsid w:val="007C4A72"/>
    <w:rsid w:val="007C7490"/>
    <w:rsid w:val="007D0781"/>
    <w:rsid w:val="007D5AB9"/>
    <w:rsid w:val="007E730D"/>
    <w:rsid w:val="007F2A33"/>
    <w:rsid w:val="007F5C82"/>
    <w:rsid w:val="008069DB"/>
    <w:rsid w:val="00812558"/>
    <w:rsid w:val="008129F3"/>
    <w:rsid w:val="008166FF"/>
    <w:rsid w:val="00820A2C"/>
    <w:rsid w:val="008237DF"/>
    <w:rsid w:val="00824117"/>
    <w:rsid w:val="0082670D"/>
    <w:rsid w:val="0083088F"/>
    <w:rsid w:val="008312DF"/>
    <w:rsid w:val="00837A5C"/>
    <w:rsid w:val="00841546"/>
    <w:rsid w:val="008444F7"/>
    <w:rsid w:val="00846C40"/>
    <w:rsid w:val="00857937"/>
    <w:rsid w:val="00862B2A"/>
    <w:rsid w:val="00862B85"/>
    <w:rsid w:val="00865FC6"/>
    <w:rsid w:val="00866B3F"/>
    <w:rsid w:val="008721A2"/>
    <w:rsid w:val="0087358B"/>
    <w:rsid w:val="0088407A"/>
    <w:rsid w:val="00887DDB"/>
    <w:rsid w:val="008A0380"/>
    <w:rsid w:val="008A1D19"/>
    <w:rsid w:val="008A58C7"/>
    <w:rsid w:val="008B0969"/>
    <w:rsid w:val="008B0A4D"/>
    <w:rsid w:val="008B1AC1"/>
    <w:rsid w:val="008B55C6"/>
    <w:rsid w:val="008C4E67"/>
    <w:rsid w:val="008D47C6"/>
    <w:rsid w:val="008D6741"/>
    <w:rsid w:val="008D6990"/>
    <w:rsid w:val="008E1792"/>
    <w:rsid w:val="008E2D06"/>
    <w:rsid w:val="008E6F4D"/>
    <w:rsid w:val="008F265B"/>
    <w:rsid w:val="008F44BE"/>
    <w:rsid w:val="008F4B2C"/>
    <w:rsid w:val="009021F4"/>
    <w:rsid w:val="00906546"/>
    <w:rsid w:val="0091017F"/>
    <w:rsid w:val="009132B8"/>
    <w:rsid w:val="009135A4"/>
    <w:rsid w:val="009136AE"/>
    <w:rsid w:val="00915E98"/>
    <w:rsid w:val="00917794"/>
    <w:rsid w:val="00922CC5"/>
    <w:rsid w:val="00924338"/>
    <w:rsid w:val="00930744"/>
    <w:rsid w:val="00932399"/>
    <w:rsid w:val="0093781B"/>
    <w:rsid w:val="00950BF5"/>
    <w:rsid w:val="0095189F"/>
    <w:rsid w:val="0095373E"/>
    <w:rsid w:val="0095395E"/>
    <w:rsid w:val="00955588"/>
    <w:rsid w:val="009612C1"/>
    <w:rsid w:val="009649A7"/>
    <w:rsid w:val="0096674B"/>
    <w:rsid w:val="00967FC3"/>
    <w:rsid w:val="009739AF"/>
    <w:rsid w:val="0097595D"/>
    <w:rsid w:val="00977EE5"/>
    <w:rsid w:val="00980F39"/>
    <w:rsid w:val="009A109C"/>
    <w:rsid w:val="009A5EF1"/>
    <w:rsid w:val="009A60EF"/>
    <w:rsid w:val="009A6275"/>
    <w:rsid w:val="009A7345"/>
    <w:rsid w:val="009B13F6"/>
    <w:rsid w:val="009B26C0"/>
    <w:rsid w:val="009B3754"/>
    <w:rsid w:val="009B3BF6"/>
    <w:rsid w:val="009C1034"/>
    <w:rsid w:val="009C735F"/>
    <w:rsid w:val="009D22E4"/>
    <w:rsid w:val="009D5A09"/>
    <w:rsid w:val="009D63A0"/>
    <w:rsid w:val="009F43B8"/>
    <w:rsid w:val="009F51AF"/>
    <w:rsid w:val="009F6F2B"/>
    <w:rsid w:val="00A01114"/>
    <w:rsid w:val="00A03DBB"/>
    <w:rsid w:val="00A047BC"/>
    <w:rsid w:val="00A07E5B"/>
    <w:rsid w:val="00A10355"/>
    <w:rsid w:val="00A16041"/>
    <w:rsid w:val="00A1629D"/>
    <w:rsid w:val="00A21430"/>
    <w:rsid w:val="00A21A1E"/>
    <w:rsid w:val="00A221F5"/>
    <w:rsid w:val="00A22528"/>
    <w:rsid w:val="00A24CBD"/>
    <w:rsid w:val="00A2577E"/>
    <w:rsid w:val="00A25D23"/>
    <w:rsid w:val="00A261A6"/>
    <w:rsid w:val="00A30F00"/>
    <w:rsid w:val="00A3118E"/>
    <w:rsid w:val="00A41A58"/>
    <w:rsid w:val="00A426D9"/>
    <w:rsid w:val="00A46BE9"/>
    <w:rsid w:val="00A5241B"/>
    <w:rsid w:val="00A56FA6"/>
    <w:rsid w:val="00A704D6"/>
    <w:rsid w:val="00A71CE9"/>
    <w:rsid w:val="00A74D33"/>
    <w:rsid w:val="00A808E8"/>
    <w:rsid w:val="00A8263C"/>
    <w:rsid w:val="00AA0437"/>
    <w:rsid w:val="00AA30BD"/>
    <w:rsid w:val="00AB2A46"/>
    <w:rsid w:val="00AB3C9B"/>
    <w:rsid w:val="00AB402C"/>
    <w:rsid w:val="00AB41CA"/>
    <w:rsid w:val="00AB49F5"/>
    <w:rsid w:val="00AB4D1D"/>
    <w:rsid w:val="00AB5C24"/>
    <w:rsid w:val="00AC4B19"/>
    <w:rsid w:val="00AC65DE"/>
    <w:rsid w:val="00AD2EDA"/>
    <w:rsid w:val="00AD49E8"/>
    <w:rsid w:val="00AE1CAA"/>
    <w:rsid w:val="00AE1F3B"/>
    <w:rsid w:val="00AE4A1E"/>
    <w:rsid w:val="00AE704D"/>
    <w:rsid w:val="00AE7738"/>
    <w:rsid w:val="00AF5782"/>
    <w:rsid w:val="00B01F33"/>
    <w:rsid w:val="00B0278F"/>
    <w:rsid w:val="00B066F4"/>
    <w:rsid w:val="00B1096F"/>
    <w:rsid w:val="00B10B36"/>
    <w:rsid w:val="00B126F5"/>
    <w:rsid w:val="00B140A2"/>
    <w:rsid w:val="00B16A86"/>
    <w:rsid w:val="00B17D7D"/>
    <w:rsid w:val="00B214C1"/>
    <w:rsid w:val="00B21F0B"/>
    <w:rsid w:val="00B25945"/>
    <w:rsid w:val="00B2666D"/>
    <w:rsid w:val="00B32E4F"/>
    <w:rsid w:val="00B3501C"/>
    <w:rsid w:val="00B36F5E"/>
    <w:rsid w:val="00B44EC0"/>
    <w:rsid w:val="00B45F3A"/>
    <w:rsid w:val="00B505D9"/>
    <w:rsid w:val="00B52DD0"/>
    <w:rsid w:val="00B578DF"/>
    <w:rsid w:val="00B6063D"/>
    <w:rsid w:val="00B60B48"/>
    <w:rsid w:val="00B63C29"/>
    <w:rsid w:val="00B70360"/>
    <w:rsid w:val="00B77BAA"/>
    <w:rsid w:val="00B813EE"/>
    <w:rsid w:val="00B81722"/>
    <w:rsid w:val="00B8216A"/>
    <w:rsid w:val="00B836C4"/>
    <w:rsid w:val="00B90859"/>
    <w:rsid w:val="00B91374"/>
    <w:rsid w:val="00B924D6"/>
    <w:rsid w:val="00B96008"/>
    <w:rsid w:val="00BA185E"/>
    <w:rsid w:val="00BB678D"/>
    <w:rsid w:val="00BB6D82"/>
    <w:rsid w:val="00BB7A4C"/>
    <w:rsid w:val="00BC12F5"/>
    <w:rsid w:val="00BC495C"/>
    <w:rsid w:val="00BC62FB"/>
    <w:rsid w:val="00BD268B"/>
    <w:rsid w:val="00BE3245"/>
    <w:rsid w:val="00BE3AC2"/>
    <w:rsid w:val="00BE5439"/>
    <w:rsid w:val="00BF1B53"/>
    <w:rsid w:val="00BF1DC6"/>
    <w:rsid w:val="00BF4AE0"/>
    <w:rsid w:val="00BF4DF7"/>
    <w:rsid w:val="00BF74C1"/>
    <w:rsid w:val="00C014EF"/>
    <w:rsid w:val="00C02F14"/>
    <w:rsid w:val="00C1380E"/>
    <w:rsid w:val="00C13E7A"/>
    <w:rsid w:val="00C15B11"/>
    <w:rsid w:val="00C16D9C"/>
    <w:rsid w:val="00C175BF"/>
    <w:rsid w:val="00C17DE4"/>
    <w:rsid w:val="00C20AB9"/>
    <w:rsid w:val="00C2296D"/>
    <w:rsid w:val="00C2513C"/>
    <w:rsid w:val="00C26795"/>
    <w:rsid w:val="00C30BE4"/>
    <w:rsid w:val="00C310FC"/>
    <w:rsid w:val="00C31954"/>
    <w:rsid w:val="00C33915"/>
    <w:rsid w:val="00C357A2"/>
    <w:rsid w:val="00C36606"/>
    <w:rsid w:val="00C37412"/>
    <w:rsid w:val="00C41919"/>
    <w:rsid w:val="00C44B35"/>
    <w:rsid w:val="00C50C92"/>
    <w:rsid w:val="00C5787A"/>
    <w:rsid w:val="00C662E2"/>
    <w:rsid w:val="00C81096"/>
    <w:rsid w:val="00C8551F"/>
    <w:rsid w:val="00C86B9E"/>
    <w:rsid w:val="00C95519"/>
    <w:rsid w:val="00C955FF"/>
    <w:rsid w:val="00C96CDF"/>
    <w:rsid w:val="00CA18BC"/>
    <w:rsid w:val="00CA39D8"/>
    <w:rsid w:val="00CA47C8"/>
    <w:rsid w:val="00CB4C1A"/>
    <w:rsid w:val="00CB63E8"/>
    <w:rsid w:val="00CC5AE3"/>
    <w:rsid w:val="00CC6498"/>
    <w:rsid w:val="00CD0681"/>
    <w:rsid w:val="00CE06D5"/>
    <w:rsid w:val="00CE2430"/>
    <w:rsid w:val="00CF61B1"/>
    <w:rsid w:val="00CF7CA9"/>
    <w:rsid w:val="00D00941"/>
    <w:rsid w:val="00D01C56"/>
    <w:rsid w:val="00D0751E"/>
    <w:rsid w:val="00D11AC1"/>
    <w:rsid w:val="00D131CE"/>
    <w:rsid w:val="00D17681"/>
    <w:rsid w:val="00D20371"/>
    <w:rsid w:val="00D22003"/>
    <w:rsid w:val="00D31E65"/>
    <w:rsid w:val="00D351CE"/>
    <w:rsid w:val="00D3585E"/>
    <w:rsid w:val="00D37202"/>
    <w:rsid w:val="00D4304B"/>
    <w:rsid w:val="00D43248"/>
    <w:rsid w:val="00D433F2"/>
    <w:rsid w:val="00D45A9A"/>
    <w:rsid w:val="00D45F31"/>
    <w:rsid w:val="00D52CAC"/>
    <w:rsid w:val="00D53BF8"/>
    <w:rsid w:val="00D63111"/>
    <w:rsid w:val="00D64653"/>
    <w:rsid w:val="00D6610E"/>
    <w:rsid w:val="00D67947"/>
    <w:rsid w:val="00D74AAE"/>
    <w:rsid w:val="00D74F62"/>
    <w:rsid w:val="00D7557A"/>
    <w:rsid w:val="00D75745"/>
    <w:rsid w:val="00D7622B"/>
    <w:rsid w:val="00D80647"/>
    <w:rsid w:val="00D92663"/>
    <w:rsid w:val="00D94DA6"/>
    <w:rsid w:val="00D95DDF"/>
    <w:rsid w:val="00D97A1B"/>
    <w:rsid w:val="00DA10F8"/>
    <w:rsid w:val="00DB398A"/>
    <w:rsid w:val="00DB5B79"/>
    <w:rsid w:val="00DB5B91"/>
    <w:rsid w:val="00DB69C2"/>
    <w:rsid w:val="00DC68A1"/>
    <w:rsid w:val="00DD0938"/>
    <w:rsid w:val="00DD60C8"/>
    <w:rsid w:val="00DD72B4"/>
    <w:rsid w:val="00DE1A43"/>
    <w:rsid w:val="00DE24E7"/>
    <w:rsid w:val="00DE63B4"/>
    <w:rsid w:val="00DF4D18"/>
    <w:rsid w:val="00E039E0"/>
    <w:rsid w:val="00E03AAF"/>
    <w:rsid w:val="00E04A48"/>
    <w:rsid w:val="00E21089"/>
    <w:rsid w:val="00E35240"/>
    <w:rsid w:val="00E3717F"/>
    <w:rsid w:val="00E42191"/>
    <w:rsid w:val="00E46C22"/>
    <w:rsid w:val="00E47BBB"/>
    <w:rsid w:val="00E56B06"/>
    <w:rsid w:val="00E60221"/>
    <w:rsid w:val="00E64923"/>
    <w:rsid w:val="00E658BB"/>
    <w:rsid w:val="00E66B12"/>
    <w:rsid w:val="00E671A0"/>
    <w:rsid w:val="00E7086D"/>
    <w:rsid w:val="00E70CB8"/>
    <w:rsid w:val="00E8133E"/>
    <w:rsid w:val="00E82D42"/>
    <w:rsid w:val="00E83FCE"/>
    <w:rsid w:val="00E846D6"/>
    <w:rsid w:val="00E87F4B"/>
    <w:rsid w:val="00E91404"/>
    <w:rsid w:val="00E9160C"/>
    <w:rsid w:val="00EA0BEA"/>
    <w:rsid w:val="00EA0F41"/>
    <w:rsid w:val="00EA1B95"/>
    <w:rsid w:val="00EA278D"/>
    <w:rsid w:val="00EA28AD"/>
    <w:rsid w:val="00EA2BE0"/>
    <w:rsid w:val="00EA633B"/>
    <w:rsid w:val="00EB2E36"/>
    <w:rsid w:val="00EB3AD2"/>
    <w:rsid w:val="00EB3BC6"/>
    <w:rsid w:val="00EB3F47"/>
    <w:rsid w:val="00EB726A"/>
    <w:rsid w:val="00EC051B"/>
    <w:rsid w:val="00EC5D8E"/>
    <w:rsid w:val="00ED0007"/>
    <w:rsid w:val="00ED193D"/>
    <w:rsid w:val="00ED4F8C"/>
    <w:rsid w:val="00ED760B"/>
    <w:rsid w:val="00F029A2"/>
    <w:rsid w:val="00F047A4"/>
    <w:rsid w:val="00F04B09"/>
    <w:rsid w:val="00F0780F"/>
    <w:rsid w:val="00F10CBD"/>
    <w:rsid w:val="00F1406F"/>
    <w:rsid w:val="00F20072"/>
    <w:rsid w:val="00F21257"/>
    <w:rsid w:val="00F25B90"/>
    <w:rsid w:val="00F2706D"/>
    <w:rsid w:val="00F303BB"/>
    <w:rsid w:val="00F3257F"/>
    <w:rsid w:val="00F3467F"/>
    <w:rsid w:val="00F34AE7"/>
    <w:rsid w:val="00F34CDF"/>
    <w:rsid w:val="00F36434"/>
    <w:rsid w:val="00F41FF4"/>
    <w:rsid w:val="00F444D1"/>
    <w:rsid w:val="00F54124"/>
    <w:rsid w:val="00F614C7"/>
    <w:rsid w:val="00F66A24"/>
    <w:rsid w:val="00F70F62"/>
    <w:rsid w:val="00F807BD"/>
    <w:rsid w:val="00F83198"/>
    <w:rsid w:val="00F861CA"/>
    <w:rsid w:val="00F86389"/>
    <w:rsid w:val="00F86C7E"/>
    <w:rsid w:val="00F87292"/>
    <w:rsid w:val="00F9669C"/>
    <w:rsid w:val="00F96824"/>
    <w:rsid w:val="00F97E99"/>
    <w:rsid w:val="00FA0F94"/>
    <w:rsid w:val="00FA48D0"/>
    <w:rsid w:val="00FA6A7C"/>
    <w:rsid w:val="00FA6DD6"/>
    <w:rsid w:val="00FA7766"/>
    <w:rsid w:val="00FB01B4"/>
    <w:rsid w:val="00FB232C"/>
    <w:rsid w:val="00FB4BD4"/>
    <w:rsid w:val="00FB63CF"/>
    <w:rsid w:val="00FB6A43"/>
    <w:rsid w:val="00FC1DCE"/>
    <w:rsid w:val="00FC222D"/>
    <w:rsid w:val="00FC44F2"/>
    <w:rsid w:val="00FC57E5"/>
    <w:rsid w:val="00FD4C04"/>
    <w:rsid w:val="00FE1954"/>
    <w:rsid w:val="00FE5B51"/>
    <w:rsid w:val="00FF321C"/>
    <w:rsid w:val="00FF655C"/>
    <w:rsid w:val="0CE06397"/>
    <w:rsid w:val="1706481F"/>
    <w:rsid w:val="259C004F"/>
    <w:rsid w:val="2BA736F0"/>
    <w:rsid w:val="2D047A30"/>
    <w:rsid w:val="44FB7203"/>
    <w:rsid w:val="47AD4CB8"/>
    <w:rsid w:val="62145187"/>
    <w:rsid w:val="6A0171F6"/>
    <w:rsid w:val="6CC70165"/>
    <w:rsid w:val="7ACB3183"/>
    <w:rsid w:val="7BDE5489"/>
    <w:rsid w:val="F77E06F1"/>
    <w:rsid w:val="FFFD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semiHidden/>
    <w:unhideWhenUsed/>
    <w:qFormat/>
    <w:uiPriority w:val="99"/>
    <w:pPr>
      <w:jc w:val="left"/>
    </w:pPr>
  </w:style>
  <w:style w:type="paragraph" w:styleId="5">
    <w:name w:val="Body Text"/>
    <w:basedOn w:val="1"/>
    <w:link w:val="21"/>
    <w:qFormat/>
    <w:uiPriority w:val="0"/>
    <w:pPr>
      <w:adjustRightInd w:val="0"/>
      <w:spacing w:after="120" w:line="312" w:lineRule="atLeast"/>
      <w:textAlignment w:val="baseline"/>
    </w:pPr>
    <w:rPr>
      <w:rFonts w:ascii="Times New Roman" w:hAnsi="Times New Roman" w:eastAsia="宋体" w:cs="Times New Roman"/>
      <w:kern w:val="0"/>
      <w:szCs w:val="20"/>
    </w:rPr>
  </w:style>
  <w:style w:type="paragraph" w:styleId="6">
    <w:name w:val="toc 3"/>
    <w:basedOn w:val="1"/>
    <w:next w:val="1"/>
    <w:unhideWhenUsed/>
    <w:qFormat/>
    <w:uiPriority w:val="39"/>
    <w:pPr>
      <w:widowControl/>
      <w:spacing w:after="100" w:line="259" w:lineRule="auto"/>
      <w:ind w:left="440"/>
      <w:jc w:val="left"/>
    </w:pPr>
    <w:rPr>
      <w:rFonts w:cs="Times New Roman"/>
      <w:kern w:val="0"/>
      <w:sz w:val="22"/>
    </w:rPr>
  </w:style>
  <w:style w:type="paragraph" w:styleId="7">
    <w:name w:val="Plain Text"/>
    <w:basedOn w:val="1"/>
    <w:link w:val="32"/>
    <w:qFormat/>
    <w:uiPriority w:val="0"/>
    <w:rPr>
      <w:rFonts w:ascii="宋体" w:hAnsi="Courier New"/>
      <w:sz w:val="2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rFonts w:cs="Times New Roman"/>
      <w:kern w:val="0"/>
      <w:sz w:val="22"/>
    </w:rPr>
  </w:style>
  <w:style w:type="paragraph" w:styleId="11">
    <w:name w:val="Subtitle"/>
    <w:basedOn w:val="1"/>
    <w:next w:val="1"/>
    <w:link w:val="31"/>
    <w:qFormat/>
    <w:uiPriority w:val="11"/>
    <w:pPr>
      <w:spacing w:before="240" w:after="60" w:line="312" w:lineRule="auto"/>
      <w:jc w:val="center"/>
      <w:outlineLvl w:val="1"/>
    </w:pPr>
    <w:rPr>
      <w:b/>
      <w:bCs/>
      <w:kern w:val="28"/>
      <w:sz w:val="32"/>
      <w:szCs w:val="32"/>
    </w:rPr>
  </w:style>
  <w:style w:type="paragraph" w:styleId="12">
    <w:name w:val="toc 2"/>
    <w:basedOn w:val="1"/>
    <w:next w:val="1"/>
    <w:unhideWhenUsed/>
    <w:qFormat/>
    <w:uiPriority w:val="39"/>
    <w:pPr>
      <w:widowControl/>
      <w:spacing w:after="100" w:line="259" w:lineRule="auto"/>
      <w:ind w:left="220"/>
      <w:jc w:val="left"/>
    </w:pPr>
    <w:rPr>
      <w:rFonts w:cs="Times New Roman"/>
      <w:kern w:val="0"/>
      <w:sz w:val="22"/>
    </w:rPr>
  </w:style>
  <w:style w:type="paragraph" w:styleId="1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4"/>
    <w:next w:val="4"/>
    <w:link w:val="27"/>
    <w:semiHidden/>
    <w:unhideWhenUsed/>
    <w:qFormat/>
    <w:uiPriority w:val="99"/>
    <w:rPr>
      <w:b/>
      <w:bCs/>
    </w:r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styleId="19">
    <w:name w:val="annotation reference"/>
    <w:basedOn w:val="17"/>
    <w:semiHidden/>
    <w:unhideWhenUsed/>
    <w:qFormat/>
    <w:uiPriority w:val="99"/>
    <w:rPr>
      <w:sz w:val="21"/>
      <w:szCs w:val="21"/>
    </w:rPr>
  </w:style>
  <w:style w:type="character" w:customStyle="1" w:styleId="20">
    <w:name w:val="标题 2 字符"/>
    <w:basedOn w:val="17"/>
    <w:link w:val="3"/>
    <w:qFormat/>
    <w:uiPriority w:val="0"/>
    <w:rPr>
      <w:rFonts w:asciiTheme="majorHAnsi" w:hAnsiTheme="majorHAnsi" w:eastAsiaTheme="majorEastAsia" w:cstheme="majorBidi"/>
      <w:b/>
      <w:bCs/>
      <w:sz w:val="32"/>
      <w:szCs w:val="32"/>
    </w:rPr>
  </w:style>
  <w:style w:type="character" w:customStyle="1" w:styleId="21">
    <w:name w:val="正文文本 字符"/>
    <w:basedOn w:val="17"/>
    <w:link w:val="5"/>
    <w:qFormat/>
    <w:uiPriority w:val="0"/>
    <w:rPr>
      <w:rFonts w:ascii="Times New Roman" w:hAnsi="Times New Roman" w:eastAsia="宋体" w:cs="Times New Roman"/>
      <w:kern w:val="0"/>
      <w:szCs w:val="20"/>
    </w:rPr>
  </w:style>
  <w:style w:type="paragraph" w:customStyle="1" w:styleId="22">
    <w:name w:val="default"/>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23">
    <w:name w:val="列表段落1"/>
    <w:basedOn w:val="1"/>
    <w:qFormat/>
    <w:uiPriority w:val="34"/>
    <w:pPr>
      <w:ind w:firstLine="420" w:firstLineChars="200"/>
    </w:pPr>
  </w:style>
  <w:style w:type="character" w:customStyle="1" w:styleId="24">
    <w:name w:val="页眉 字符"/>
    <w:basedOn w:val="17"/>
    <w:link w:val="9"/>
    <w:qFormat/>
    <w:uiPriority w:val="99"/>
    <w:rPr>
      <w:sz w:val="18"/>
      <w:szCs w:val="18"/>
    </w:rPr>
  </w:style>
  <w:style w:type="character" w:customStyle="1" w:styleId="25">
    <w:name w:val="页脚 字符"/>
    <w:basedOn w:val="17"/>
    <w:link w:val="8"/>
    <w:qFormat/>
    <w:uiPriority w:val="99"/>
    <w:rPr>
      <w:sz w:val="18"/>
      <w:szCs w:val="18"/>
    </w:rPr>
  </w:style>
  <w:style w:type="character" w:customStyle="1" w:styleId="26">
    <w:name w:val="批注文字 字符"/>
    <w:basedOn w:val="17"/>
    <w:link w:val="4"/>
    <w:semiHidden/>
    <w:qFormat/>
    <w:uiPriority w:val="99"/>
  </w:style>
  <w:style w:type="character" w:customStyle="1" w:styleId="27">
    <w:name w:val="批注主题 字符"/>
    <w:basedOn w:val="26"/>
    <w:link w:val="15"/>
    <w:semiHidden/>
    <w:qFormat/>
    <w:uiPriority w:val="99"/>
    <w:rPr>
      <w:b/>
      <w:bCs/>
    </w:rPr>
  </w:style>
  <w:style w:type="character" w:styleId="28">
    <w:name w:val="Placeholder Text"/>
    <w:basedOn w:val="17"/>
    <w:semiHidden/>
    <w:qFormat/>
    <w:uiPriority w:val="99"/>
    <w:rPr>
      <w:color w:val="808080"/>
    </w:rPr>
  </w:style>
  <w:style w:type="character" w:customStyle="1" w:styleId="29">
    <w:name w:val="标题 1 字符"/>
    <w:basedOn w:val="17"/>
    <w:link w:val="2"/>
    <w:qFormat/>
    <w:uiPriority w:val="9"/>
    <w:rPr>
      <w:b/>
      <w:bCs/>
      <w:kern w:val="44"/>
      <w:sz w:val="44"/>
      <w:szCs w:val="44"/>
    </w:rPr>
  </w:style>
  <w:style w:type="paragraph" w:customStyle="1" w:styleId="3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1">
    <w:name w:val="副标题 字符"/>
    <w:basedOn w:val="17"/>
    <w:link w:val="11"/>
    <w:qFormat/>
    <w:uiPriority w:val="11"/>
    <w:rPr>
      <w:b/>
      <w:bCs/>
      <w:kern w:val="28"/>
      <w:sz w:val="32"/>
      <w:szCs w:val="32"/>
    </w:rPr>
  </w:style>
  <w:style w:type="character" w:customStyle="1" w:styleId="32">
    <w:name w:val="纯文本 字符1"/>
    <w:link w:val="7"/>
    <w:qFormat/>
    <w:uiPriority w:val="0"/>
    <w:rPr>
      <w:rFonts w:ascii="宋体" w:hAnsi="Courier New"/>
      <w:sz w:val="28"/>
    </w:rPr>
  </w:style>
  <w:style w:type="character" w:customStyle="1" w:styleId="33">
    <w:name w:val="纯文本 字符"/>
    <w:basedOn w:val="17"/>
    <w:semiHidden/>
    <w:qFormat/>
    <w:uiPriority w:val="99"/>
    <w:rPr>
      <w:rFonts w:hAnsi="Courier New" w:cs="Courier New" w:asciiTheme="minorEastAsia"/>
    </w:rPr>
  </w:style>
  <w:style w:type="paragraph" w:styleId="3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9CF518-DC35-4D3E-B46F-F1A75C8B884E}">
  <ds:schemaRefs/>
</ds:datastoreItem>
</file>

<file path=docProps/app.xml><?xml version="1.0" encoding="utf-8"?>
<Properties xmlns="http://schemas.openxmlformats.org/officeDocument/2006/extended-properties" xmlns:vt="http://schemas.openxmlformats.org/officeDocument/2006/docPropsVTypes">
  <Template>Normal</Template>
  <Pages>54</Pages>
  <Words>22789</Words>
  <Characters>25614</Characters>
  <Lines>221</Lines>
  <Paragraphs>62</Paragraphs>
  <TotalTime>2</TotalTime>
  <ScaleCrop>false</ScaleCrop>
  <LinksUpToDate>false</LinksUpToDate>
  <CharactersWithSpaces>25921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2021-10-13T08:50:00Z</dcterms:created>
  <dc:creator>张 无忌</dc:creator>
  <cp:lastModifiedBy>☞ZHAO</cp:lastModifiedBy>
  <cp:lastPrinted>2021-11-26T01:53:00Z</cp:lastPrinted>
  <dcterms:modified xsi:type="dcterms:W3CDTF">2024-03-14T03:27:02Z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5E3341F1F33D4912AFFE6A0D1ECD92B2</vt:lpwstr>
  </property>
</Properties>
</file>