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hint="eastAsia" w:ascii="黑体" w:hAnsi="黑体" w:eastAsia="黑体"/>
          <w:b/>
          <w:spacing w:val="15"/>
          <w:sz w:val="44"/>
          <w:szCs w:val="24"/>
          <w:highlight w:val="white"/>
        </w:rPr>
      </w:pPr>
      <w:r>
        <w:rPr>
          <w:rFonts w:hint="eastAsia" w:ascii="黑体" w:hAnsi="黑体" w:eastAsia="黑体"/>
          <w:b/>
          <w:spacing w:val="15"/>
          <w:sz w:val="44"/>
          <w:szCs w:val="24"/>
          <w:highlight w:val="white"/>
        </w:rPr>
        <w:t>武义县文化和广电旅游体育局</w:t>
      </w:r>
    </w:p>
    <w:p>
      <w:pPr>
        <w:spacing w:line="324" w:lineRule="auto"/>
        <w:jc w:val="center"/>
        <w:rPr>
          <w:rFonts w:hint="eastAsia" w:ascii="黑体" w:hAnsi="黑体" w:eastAsia="黑体"/>
          <w:b/>
          <w:color w:val="000000"/>
          <w:sz w:val="44"/>
          <w:szCs w:val="24"/>
          <w:highlight w:val="white"/>
        </w:rPr>
      </w:pPr>
      <w:r>
        <w:rPr>
          <w:rFonts w:hint="eastAsia" w:ascii="黑体" w:hAnsi="黑体" w:eastAsia="黑体"/>
          <w:b/>
          <w:color w:val="000000"/>
          <w:sz w:val="44"/>
          <w:szCs w:val="24"/>
          <w:highlight w:val="white"/>
        </w:rPr>
        <w:t>20</w:t>
      </w:r>
      <w:r>
        <w:rPr>
          <w:rFonts w:hint="eastAsia" w:ascii="黑体" w:hAnsi="黑体" w:eastAsia="黑体"/>
          <w:b/>
          <w:color w:val="000000"/>
          <w:sz w:val="44"/>
          <w:szCs w:val="24"/>
          <w:highlight w:val="white"/>
          <w:lang w:val="en-US" w:eastAsia="zh-CN"/>
        </w:rPr>
        <w:t>21</w:t>
      </w:r>
      <w:r>
        <w:rPr>
          <w:rFonts w:hint="eastAsia" w:ascii="黑体" w:hAnsi="黑体" w:eastAsia="黑体"/>
          <w:b/>
          <w:color w:val="000000"/>
          <w:sz w:val="44"/>
          <w:szCs w:val="24"/>
          <w:highlight w:val="white"/>
        </w:rPr>
        <w:t>年度</w:t>
      </w:r>
      <w:r>
        <w:rPr>
          <w:rFonts w:hint="eastAsia" w:ascii="黑体" w:hAnsi="黑体" w:eastAsia="黑体"/>
          <w:b/>
          <w:color w:val="000000"/>
          <w:sz w:val="44"/>
          <w:szCs w:val="24"/>
          <w:highlight w:val="white"/>
          <w:lang w:eastAsia="zh-CN"/>
        </w:rPr>
        <w:t>单位</w:t>
      </w:r>
      <w:r>
        <w:rPr>
          <w:rFonts w:hint="eastAsia" w:ascii="黑体" w:hAnsi="黑体" w:eastAsia="黑体"/>
          <w:b/>
          <w:color w:val="000000"/>
          <w:sz w:val="44"/>
          <w:szCs w:val="24"/>
          <w:highlight w:val="white"/>
        </w:rPr>
        <w:t>决算</w:t>
      </w:r>
    </w:p>
    <w:p>
      <w:pPr>
        <w:jc w:val="center"/>
        <w:rPr>
          <w:rFonts w:hint="eastAsia" w:ascii="宋体" w:hAnsi="宋体"/>
          <w:b/>
          <w:sz w:val="36"/>
          <w:szCs w:val="24"/>
        </w:rPr>
      </w:pPr>
    </w:p>
    <w:p>
      <w:pPr>
        <w:jc w:val="center"/>
        <w:rPr>
          <w:rFonts w:hint="eastAsia" w:ascii="宋体" w:hAnsi="宋体"/>
          <w:b/>
          <w:sz w:val="36"/>
          <w:szCs w:val="24"/>
        </w:rPr>
      </w:pPr>
      <w:r>
        <w:rPr>
          <w:rFonts w:hint="eastAsia" w:ascii="宋体" w:hAnsi="宋体"/>
          <w:b/>
          <w:sz w:val="36"/>
          <w:szCs w:val="24"/>
        </w:rPr>
        <w:t>目录</w:t>
      </w:r>
    </w:p>
    <w:p>
      <w:pPr>
        <w:jc w:val="center"/>
        <w:rPr>
          <w:rFonts w:hint="eastAsia" w:ascii="宋体" w:hAnsi="宋体"/>
          <w:b/>
          <w:sz w:val="36"/>
          <w:szCs w:val="24"/>
        </w:rPr>
      </w:pPr>
    </w:p>
    <w:p>
      <w:pPr>
        <w:pStyle w:val="5"/>
        <w:tabs>
          <w:tab w:val="right" w:leader="dot" w:pos="8640"/>
        </w:tabs>
        <w:spacing w:line="480" w:lineRule="exact"/>
        <w:rPr>
          <w:rFonts w:hint="default"/>
          <w:sz w:val="28"/>
          <w:szCs w:val="24"/>
        </w:rPr>
      </w:pPr>
      <w:r>
        <w:rPr>
          <w:rFonts w:hint="eastAsia" w:ascii="黑体" w:hAnsi="黑体" w:eastAsia="黑体"/>
          <w:sz w:val="28"/>
          <w:szCs w:val="24"/>
          <w:highlight w:val="white"/>
        </w:rPr>
        <w:fldChar w:fldCharType="begin"/>
      </w:r>
      <w:r>
        <w:rPr>
          <w:rFonts w:hint="eastAsia" w:ascii="黑体" w:hAnsi="黑体" w:eastAsia="黑体"/>
          <w:sz w:val="28"/>
          <w:szCs w:val="24"/>
          <w:highlight w:val="white"/>
        </w:rPr>
        <w:instrText xml:space="preserve"> HYPERLINK \l _Toc4081 </w:instrText>
      </w:r>
      <w:r>
        <w:rPr>
          <w:rFonts w:hint="eastAsia" w:ascii="黑体" w:hAnsi="黑体" w:eastAsia="黑体"/>
          <w:sz w:val="28"/>
          <w:szCs w:val="24"/>
          <w:highlight w:val="white"/>
        </w:rPr>
        <w:fldChar w:fldCharType="separate"/>
      </w:r>
      <w:r>
        <w:rPr>
          <w:rFonts w:hint="eastAsia"/>
          <w:sz w:val="28"/>
          <w:szCs w:val="24"/>
        </w:rPr>
        <w:t>一、概况</w:t>
      </w:r>
      <w:r>
        <w:rPr>
          <w:rFonts w:hint="default"/>
          <w:sz w:val="28"/>
          <w:szCs w:val="24"/>
        </w:rPr>
        <w:tab/>
      </w:r>
      <w:r>
        <w:rPr>
          <w:rFonts w:hint="default"/>
          <w:sz w:val="28"/>
          <w:szCs w:val="24"/>
        </w:rPr>
        <w:fldChar w:fldCharType="begin"/>
      </w:r>
      <w:r>
        <w:rPr>
          <w:rFonts w:hint="default"/>
          <w:sz w:val="28"/>
          <w:szCs w:val="24"/>
        </w:rPr>
        <w:instrText xml:space="preserve"> PAGEREF _Toc4081 \h </w:instrText>
      </w:r>
      <w:r>
        <w:rPr>
          <w:rFonts w:hint="default"/>
          <w:sz w:val="28"/>
          <w:szCs w:val="24"/>
        </w:rPr>
        <w:fldChar w:fldCharType="separate"/>
      </w:r>
      <w:r>
        <w:rPr>
          <w:rFonts w:hint="default"/>
          <w:sz w:val="28"/>
          <w:szCs w:val="24"/>
        </w:rPr>
        <w:t>1</w:t>
      </w:r>
      <w:r>
        <w:rPr>
          <w:rFonts w:hint="default"/>
          <w:sz w:val="28"/>
          <w:szCs w:val="24"/>
        </w:rPr>
        <w:fldChar w:fldCharType="end"/>
      </w:r>
      <w:r>
        <w:rPr>
          <w:rFonts w:hint="default"/>
          <w:sz w:val="28"/>
          <w:szCs w:val="24"/>
        </w:rPr>
        <w:fldChar w:fldCharType="end"/>
      </w:r>
    </w:p>
    <w:p>
      <w:pPr>
        <w:pStyle w:val="6"/>
        <w:tabs>
          <w:tab w:val="right" w:leader="dot" w:pos="8640"/>
        </w:tabs>
        <w:spacing w:line="480" w:lineRule="exact"/>
        <w:rPr>
          <w:rFonts w:hint="eastAsia"/>
          <w:sz w:val="28"/>
          <w:szCs w:val="24"/>
          <w:lang w:val="en-US" w:eastAsia="zh-CN"/>
        </w:rPr>
      </w:pPr>
      <w:r>
        <w:rPr>
          <w:rFonts w:hint="default"/>
          <w:sz w:val="28"/>
          <w:szCs w:val="24"/>
        </w:rPr>
        <w:fldChar w:fldCharType="begin"/>
      </w:r>
      <w:r>
        <w:rPr>
          <w:rFonts w:hint="default"/>
          <w:sz w:val="28"/>
          <w:szCs w:val="24"/>
        </w:rPr>
        <w:instrText xml:space="preserve"> HYPERLINK \l _Toc18440 </w:instrText>
      </w:r>
      <w:r>
        <w:rPr>
          <w:rFonts w:hint="default"/>
          <w:sz w:val="28"/>
          <w:szCs w:val="24"/>
        </w:rPr>
        <w:fldChar w:fldCharType="separate"/>
      </w:r>
      <w:r>
        <w:rPr>
          <w:rFonts w:hint="eastAsia"/>
          <w:sz w:val="28"/>
          <w:szCs w:val="24"/>
          <w:lang w:val="en-US"/>
        </w:rPr>
        <w:t>（一）单位职责</w:t>
      </w:r>
      <w:r>
        <w:rPr>
          <w:rFonts w:hint="default"/>
          <w:sz w:val="28"/>
          <w:szCs w:val="24"/>
        </w:rPr>
        <w:tab/>
      </w:r>
      <w:r>
        <w:rPr>
          <w:rFonts w:hint="eastAsia"/>
          <w:sz w:val="28"/>
          <w:szCs w:val="24"/>
          <w:lang w:val="en-US" w:eastAsia="zh-CN"/>
        </w:rPr>
        <w:t>.</w:t>
      </w:r>
      <w:r>
        <w:rPr>
          <w:rFonts w:hint="eastAsia"/>
          <w:sz w:val="28"/>
          <w:szCs w:val="24"/>
          <w:lang w:val="en-US" w:eastAsia="zh-CN"/>
        </w:rPr>
        <w:fldChar w:fldCharType="end"/>
      </w:r>
      <w:r>
        <w:rPr>
          <w:rFonts w:hint="eastAsia"/>
          <w:sz w:val="28"/>
          <w:szCs w:val="24"/>
          <w:lang w:val="en-US" w:eastAsia="zh-CN"/>
        </w:rPr>
        <w:t>1</w:t>
      </w:r>
    </w:p>
    <w:p>
      <w:pPr>
        <w:pStyle w:val="6"/>
        <w:tabs>
          <w:tab w:val="right" w:leader="dot" w:pos="8640"/>
        </w:tabs>
        <w:spacing w:line="480" w:lineRule="exact"/>
        <w:rPr>
          <w:rFonts w:hint="default"/>
          <w:sz w:val="21"/>
          <w:szCs w:val="24"/>
        </w:rPr>
      </w:pPr>
      <w:r>
        <w:rPr>
          <w:rFonts w:hint="default"/>
          <w:sz w:val="28"/>
          <w:szCs w:val="24"/>
        </w:rPr>
        <w:fldChar w:fldCharType="begin"/>
      </w:r>
      <w:r>
        <w:rPr>
          <w:rFonts w:hint="default"/>
          <w:sz w:val="28"/>
          <w:szCs w:val="24"/>
        </w:rPr>
        <w:instrText xml:space="preserve"> HYPERLINK \l _Toc7453 </w:instrText>
      </w:r>
      <w:r>
        <w:rPr>
          <w:rFonts w:hint="default"/>
          <w:sz w:val="28"/>
          <w:szCs w:val="24"/>
        </w:rPr>
        <w:fldChar w:fldCharType="separate"/>
      </w:r>
      <w:r>
        <w:rPr>
          <w:rFonts w:hint="eastAsia"/>
          <w:sz w:val="28"/>
          <w:szCs w:val="24"/>
          <w:lang w:val="en-US"/>
        </w:rPr>
        <w:t>（二）机构设置</w:t>
      </w:r>
      <w:r>
        <w:rPr>
          <w:rFonts w:hint="default"/>
          <w:sz w:val="28"/>
          <w:szCs w:val="24"/>
        </w:rPr>
        <w:tab/>
      </w:r>
      <w:r>
        <w:rPr>
          <w:rFonts w:hint="eastAsia"/>
          <w:sz w:val="28"/>
          <w:szCs w:val="24"/>
          <w:lang w:val="en-US" w:eastAsia="zh-CN"/>
        </w:rPr>
        <w:t>3</w:t>
      </w:r>
      <w:r>
        <w:rPr>
          <w:rFonts w:hint="eastAsia"/>
          <w:sz w:val="28"/>
          <w:szCs w:val="24"/>
          <w:lang w:val="en-US" w:eastAsia="zh-CN"/>
        </w:rPr>
        <w:fldChar w:fldCharType="end"/>
      </w:r>
    </w:p>
    <w:p>
      <w:pPr>
        <w:pStyle w:val="5"/>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_Toc23514 </w:instrText>
      </w:r>
      <w:r>
        <w:rPr>
          <w:rFonts w:hint="eastAsia"/>
          <w:sz w:val="28"/>
          <w:szCs w:val="24"/>
        </w:rPr>
        <w:fldChar w:fldCharType="separate"/>
      </w:r>
      <w:r>
        <w:rPr>
          <w:rFonts w:hint="eastAsia"/>
          <w:sz w:val="28"/>
          <w:szCs w:val="24"/>
        </w:rPr>
        <w:t>二、2021年度单位决算公开表</w:t>
      </w:r>
      <w:r>
        <w:rPr>
          <w:rFonts w:hint="default"/>
          <w:sz w:val="28"/>
          <w:szCs w:val="24"/>
        </w:rPr>
        <w:tab/>
      </w:r>
      <w:r>
        <w:rPr>
          <w:rFonts w:hint="eastAsia"/>
          <w:sz w:val="28"/>
          <w:szCs w:val="24"/>
          <w:lang w:val="en-US" w:eastAsia="zh-CN"/>
        </w:rPr>
        <w:t>4</w:t>
      </w:r>
      <w:r>
        <w:rPr>
          <w:rFonts w:hint="eastAsia"/>
          <w:sz w:val="28"/>
          <w:szCs w:val="24"/>
          <w:lang w:val="en-US" w:eastAsia="zh-CN"/>
        </w:rPr>
        <w:fldChar w:fldCharType="end"/>
      </w:r>
    </w:p>
    <w:p>
      <w:pPr>
        <w:pStyle w:val="5"/>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_Toc28941 </w:instrText>
      </w:r>
      <w:r>
        <w:rPr>
          <w:rFonts w:hint="eastAsia"/>
          <w:sz w:val="28"/>
          <w:szCs w:val="24"/>
        </w:rPr>
        <w:fldChar w:fldCharType="separate"/>
      </w:r>
      <w:r>
        <w:rPr>
          <w:rFonts w:hint="eastAsia"/>
          <w:sz w:val="28"/>
          <w:szCs w:val="24"/>
          <w:lang w:val="zh-CN"/>
        </w:rPr>
        <w:t>三、</w:t>
      </w:r>
      <w:r>
        <w:rPr>
          <w:rFonts w:hint="eastAsia"/>
          <w:sz w:val="28"/>
          <w:szCs w:val="24"/>
        </w:rPr>
        <w:t>2021年度单位决算情况说明</w:t>
      </w:r>
      <w:r>
        <w:rPr>
          <w:rFonts w:hint="default"/>
          <w:sz w:val="28"/>
          <w:szCs w:val="24"/>
        </w:rPr>
        <w:tab/>
      </w:r>
      <w:r>
        <w:rPr>
          <w:rFonts w:hint="eastAsia"/>
          <w:sz w:val="28"/>
          <w:szCs w:val="24"/>
          <w:lang w:val="en-US" w:eastAsia="zh-CN"/>
        </w:rPr>
        <w:t>4</w:t>
      </w:r>
      <w:r>
        <w:rPr>
          <w:rFonts w:hint="eastAsia"/>
          <w:sz w:val="28"/>
          <w:szCs w:val="24"/>
          <w:lang w:val="en-US" w:eastAsia="zh-CN"/>
        </w:rPr>
        <w:fldChar w:fldCharType="end"/>
      </w:r>
    </w:p>
    <w:p>
      <w:pPr>
        <w:pStyle w:val="6"/>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_Toc3675 </w:instrText>
      </w:r>
      <w:r>
        <w:rPr>
          <w:rFonts w:hint="eastAsia"/>
          <w:sz w:val="28"/>
          <w:szCs w:val="24"/>
        </w:rPr>
        <w:fldChar w:fldCharType="separate"/>
      </w:r>
      <w:r>
        <w:rPr>
          <w:rFonts w:hint="eastAsia"/>
          <w:sz w:val="28"/>
          <w:szCs w:val="24"/>
        </w:rPr>
        <w:t>（一）收入支出决算总体情况说明</w:t>
      </w:r>
      <w:r>
        <w:rPr>
          <w:rFonts w:hint="default"/>
          <w:sz w:val="28"/>
          <w:szCs w:val="24"/>
        </w:rPr>
        <w:tab/>
      </w:r>
      <w:r>
        <w:rPr>
          <w:rFonts w:hint="eastAsia"/>
          <w:sz w:val="28"/>
          <w:szCs w:val="24"/>
          <w:lang w:val="en-US" w:eastAsia="zh-CN"/>
        </w:rPr>
        <w:t>4</w:t>
      </w:r>
      <w:r>
        <w:rPr>
          <w:rFonts w:hint="eastAsia"/>
          <w:sz w:val="28"/>
          <w:szCs w:val="24"/>
          <w:lang w:val="en-US" w:eastAsia="zh-CN"/>
        </w:rPr>
        <w:fldChar w:fldCharType="end"/>
      </w:r>
    </w:p>
    <w:p>
      <w:pPr>
        <w:pStyle w:val="6"/>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_Toc2225 </w:instrText>
      </w:r>
      <w:r>
        <w:rPr>
          <w:rFonts w:hint="eastAsia"/>
          <w:sz w:val="28"/>
          <w:szCs w:val="24"/>
        </w:rPr>
        <w:fldChar w:fldCharType="separate"/>
      </w:r>
      <w:r>
        <w:rPr>
          <w:rFonts w:hint="eastAsia"/>
          <w:sz w:val="28"/>
          <w:szCs w:val="24"/>
        </w:rPr>
        <w:t>（二）收入决算情况说明</w:t>
      </w:r>
      <w:r>
        <w:rPr>
          <w:rFonts w:hint="default"/>
          <w:sz w:val="28"/>
          <w:szCs w:val="24"/>
        </w:rPr>
        <w:tab/>
      </w:r>
      <w:r>
        <w:rPr>
          <w:rFonts w:hint="eastAsia"/>
          <w:sz w:val="28"/>
          <w:szCs w:val="24"/>
          <w:lang w:val="en-US" w:eastAsia="zh-CN"/>
        </w:rPr>
        <w:t>4</w:t>
      </w:r>
      <w:r>
        <w:rPr>
          <w:rFonts w:hint="eastAsia"/>
          <w:sz w:val="28"/>
          <w:szCs w:val="24"/>
          <w:lang w:val="en-US" w:eastAsia="zh-CN"/>
        </w:rPr>
        <w:fldChar w:fldCharType="end"/>
      </w:r>
    </w:p>
    <w:p>
      <w:pPr>
        <w:pStyle w:val="6"/>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_Toc10270 </w:instrText>
      </w:r>
      <w:r>
        <w:rPr>
          <w:rFonts w:hint="eastAsia"/>
          <w:sz w:val="28"/>
          <w:szCs w:val="24"/>
        </w:rPr>
        <w:fldChar w:fldCharType="separate"/>
      </w:r>
      <w:r>
        <w:rPr>
          <w:rFonts w:hint="eastAsia"/>
          <w:sz w:val="28"/>
          <w:szCs w:val="24"/>
        </w:rPr>
        <w:t>（三）支出决算情况说明</w:t>
      </w:r>
      <w:r>
        <w:rPr>
          <w:rFonts w:hint="default"/>
          <w:sz w:val="28"/>
          <w:szCs w:val="24"/>
        </w:rPr>
        <w:tab/>
      </w:r>
      <w:r>
        <w:rPr>
          <w:rFonts w:hint="eastAsia"/>
          <w:sz w:val="28"/>
          <w:szCs w:val="24"/>
          <w:lang w:val="en-US" w:eastAsia="zh-CN"/>
        </w:rPr>
        <w:t>4</w:t>
      </w:r>
      <w:r>
        <w:rPr>
          <w:rFonts w:hint="eastAsia"/>
          <w:sz w:val="28"/>
          <w:szCs w:val="24"/>
          <w:lang w:val="en-US" w:eastAsia="zh-CN"/>
        </w:rPr>
        <w:fldChar w:fldCharType="end"/>
      </w:r>
    </w:p>
    <w:p>
      <w:pPr>
        <w:pStyle w:val="6"/>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_Toc20212 </w:instrText>
      </w:r>
      <w:r>
        <w:rPr>
          <w:rFonts w:hint="eastAsia"/>
          <w:sz w:val="28"/>
          <w:szCs w:val="24"/>
        </w:rPr>
        <w:fldChar w:fldCharType="separate"/>
      </w:r>
      <w:r>
        <w:rPr>
          <w:rFonts w:hint="eastAsia"/>
          <w:sz w:val="28"/>
          <w:szCs w:val="24"/>
        </w:rPr>
        <w:t>（四）财政拨款收入支出决算总体情况说明</w:t>
      </w:r>
      <w:r>
        <w:rPr>
          <w:rFonts w:hint="default"/>
          <w:sz w:val="28"/>
          <w:szCs w:val="24"/>
        </w:rPr>
        <w:tab/>
      </w:r>
      <w:r>
        <w:rPr>
          <w:rFonts w:hint="eastAsia"/>
          <w:sz w:val="28"/>
          <w:szCs w:val="24"/>
          <w:lang w:val="en-US" w:eastAsia="zh-CN"/>
        </w:rPr>
        <w:t>5</w:t>
      </w:r>
      <w:r>
        <w:rPr>
          <w:rFonts w:hint="eastAsia"/>
          <w:sz w:val="28"/>
          <w:szCs w:val="24"/>
          <w:lang w:val="en-US" w:eastAsia="zh-CN"/>
        </w:rPr>
        <w:fldChar w:fldCharType="end"/>
      </w:r>
    </w:p>
    <w:p>
      <w:pPr>
        <w:pStyle w:val="6"/>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_Toc31184 </w:instrText>
      </w:r>
      <w:r>
        <w:rPr>
          <w:rFonts w:hint="eastAsia"/>
          <w:sz w:val="28"/>
          <w:szCs w:val="24"/>
        </w:rPr>
        <w:fldChar w:fldCharType="separate"/>
      </w:r>
      <w:r>
        <w:rPr>
          <w:rFonts w:hint="eastAsia"/>
          <w:sz w:val="28"/>
          <w:szCs w:val="24"/>
        </w:rPr>
        <w:t>（五）一般公共预算财政拨款支出决算情况说明</w:t>
      </w:r>
      <w:r>
        <w:rPr>
          <w:rFonts w:hint="default"/>
          <w:sz w:val="28"/>
          <w:szCs w:val="24"/>
        </w:rPr>
        <w:tab/>
      </w:r>
      <w:r>
        <w:rPr>
          <w:rFonts w:hint="eastAsia"/>
          <w:sz w:val="28"/>
          <w:szCs w:val="24"/>
          <w:lang w:val="en-US" w:eastAsia="zh-CN"/>
        </w:rPr>
        <w:t>5</w:t>
      </w:r>
      <w:r>
        <w:rPr>
          <w:rFonts w:hint="eastAsia"/>
          <w:sz w:val="28"/>
          <w:szCs w:val="24"/>
          <w:lang w:val="en-US" w:eastAsia="zh-CN"/>
        </w:rPr>
        <w:fldChar w:fldCharType="end"/>
      </w:r>
    </w:p>
    <w:p>
      <w:pPr>
        <w:pStyle w:val="6"/>
        <w:tabs>
          <w:tab w:val="right" w:leader="dot" w:pos="8640"/>
        </w:tabs>
        <w:spacing w:line="480" w:lineRule="exact"/>
        <w:rPr>
          <w:rFonts w:hint="eastAsia"/>
          <w:sz w:val="21"/>
          <w:szCs w:val="24"/>
          <w:lang w:eastAsia="zh-CN"/>
        </w:rPr>
      </w:pPr>
      <w:r>
        <w:rPr>
          <w:rFonts w:hint="eastAsia"/>
          <w:sz w:val="28"/>
          <w:szCs w:val="24"/>
        </w:rPr>
        <w:t>（六）一般公共预算财政拨款基本支出决算情况说明.......................</w:t>
      </w:r>
      <w:r>
        <w:rPr>
          <w:rFonts w:hint="eastAsia"/>
          <w:sz w:val="28"/>
          <w:szCs w:val="24"/>
          <w:lang w:val="en-US" w:eastAsia="zh-CN"/>
        </w:rPr>
        <w:t>8</w:t>
      </w:r>
    </w:p>
    <w:p>
      <w:pPr>
        <w:pStyle w:val="6"/>
        <w:tabs>
          <w:tab w:val="right" w:leader="dot" w:pos="8640"/>
        </w:tabs>
        <w:spacing w:line="480" w:lineRule="exact"/>
        <w:rPr>
          <w:rFonts w:hint="default"/>
          <w:sz w:val="28"/>
          <w:szCs w:val="24"/>
        </w:rPr>
      </w:pPr>
      <w:r>
        <w:rPr>
          <w:rFonts w:hint="eastAsia"/>
          <w:sz w:val="28"/>
          <w:szCs w:val="24"/>
        </w:rPr>
        <w:fldChar w:fldCharType="begin"/>
      </w:r>
      <w:r>
        <w:rPr>
          <w:rFonts w:hint="eastAsia"/>
          <w:sz w:val="28"/>
          <w:szCs w:val="24"/>
        </w:rPr>
        <w:instrText xml:space="preserve"> HYPERLINK \l _Toc20246 </w:instrText>
      </w:r>
      <w:r>
        <w:rPr>
          <w:rFonts w:hint="eastAsia"/>
          <w:sz w:val="28"/>
          <w:szCs w:val="24"/>
        </w:rPr>
        <w:fldChar w:fldCharType="separate"/>
      </w:r>
      <w:r>
        <w:rPr>
          <w:rFonts w:hint="eastAsia"/>
          <w:sz w:val="28"/>
          <w:szCs w:val="24"/>
        </w:rPr>
        <w:t>（七）政府性基金预算财政拨款支出</w:t>
      </w:r>
      <w:r>
        <w:rPr>
          <w:rFonts w:hint="eastAsia"/>
          <w:sz w:val="28"/>
          <w:szCs w:val="24"/>
          <w:lang w:val="zh-CN"/>
        </w:rPr>
        <w:t>决算</w:t>
      </w:r>
      <w:r>
        <w:rPr>
          <w:rFonts w:hint="eastAsia"/>
          <w:sz w:val="28"/>
          <w:szCs w:val="24"/>
        </w:rPr>
        <w:t>总体情况说明</w:t>
      </w:r>
      <w:r>
        <w:rPr>
          <w:rFonts w:hint="default"/>
          <w:sz w:val="28"/>
          <w:szCs w:val="24"/>
        </w:rPr>
        <w:tab/>
      </w:r>
      <w:r>
        <w:rPr>
          <w:rFonts w:hint="eastAsia"/>
          <w:sz w:val="28"/>
          <w:szCs w:val="24"/>
          <w:lang w:val="en-US" w:eastAsia="zh-CN"/>
        </w:rPr>
        <w:t>9</w:t>
      </w:r>
      <w:r>
        <w:rPr>
          <w:rFonts w:hint="eastAsia"/>
          <w:sz w:val="28"/>
          <w:szCs w:val="24"/>
          <w:lang w:val="en-US" w:eastAsia="zh-CN"/>
        </w:rPr>
        <w:fldChar w:fldCharType="end"/>
      </w:r>
    </w:p>
    <w:p>
      <w:pPr>
        <w:pStyle w:val="6"/>
        <w:tabs>
          <w:tab w:val="right" w:leader="dot" w:pos="8640"/>
        </w:tabs>
        <w:spacing w:line="480" w:lineRule="exact"/>
        <w:rPr>
          <w:rFonts w:hint="eastAsia"/>
          <w:sz w:val="28"/>
          <w:szCs w:val="24"/>
          <w:lang w:val="en-US" w:eastAsia="zh-CN"/>
        </w:rPr>
      </w:pPr>
      <w:r>
        <w:rPr>
          <w:rFonts w:hint="eastAsia"/>
          <w:sz w:val="28"/>
          <w:szCs w:val="24"/>
        </w:rPr>
        <w:fldChar w:fldCharType="begin"/>
      </w:r>
      <w:r>
        <w:rPr>
          <w:rFonts w:hint="eastAsia"/>
          <w:sz w:val="28"/>
          <w:szCs w:val="24"/>
        </w:rPr>
        <w:instrText xml:space="preserve"> HYPERLINK \l _Toc29153 </w:instrText>
      </w:r>
      <w:r>
        <w:rPr>
          <w:rFonts w:hint="eastAsia"/>
          <w:sz w:val="28"/>
          <w:szCs w:val="24"/>
        </w:rPr>
        <w:fldChar w:fldCharType="separate"/>
      </w:r>
      <w:r>
        <w:rPr>
          <w:rFonts w:hint="eastAsia"/>
          <w:sz w:val="28"/>
          <w:szCs w:val="24"/>
        </w:rPr>
        <w:t>（八）国有资本经营预算财政拨款支出</w:t>
      </w:r>
      <w:r>
        <w:rPr>
          <w:rFonts w:hint="eastAsia"/>
          <w:sz w:val="28"/>
          <w:szCs w:val="24"/>
          <w:lang w:val="zh-CN"/>
        </w:rPr>
        <w:t>决算</w:t>
      </w:r>
      <w:r>
        <w:rPr>
          <w:rFonts w:hint="eastAsia"/>
          <w:sz w:val="28"/>
          <w:szCs w:val="24"/>
        </w:rPr>
        <w:t xml:space="preserve">总体情况说明 </w:t>
      </w:r>
      <w:r>
        <w:rPr>
          <w:rFonts w:hint="default"/>
          <w:sz w:val="28"/>
          <w:szCs w:val="24"/>
        </w:rPr>
        <w:tab/>
      </w:r>
      <w:r>
        <w:rPr>
          <w:rFonts w:hint="eastAsia"/>
          <w:sz w:val="28"/>
          <w:szCs w:val="24"/>
          <w:lang w:val="en-US" w:eastAsia="zh-CN"/>
        </w:rPr>
        <w:t>1</w:t>
      </w:r>
      <w:r>
        <w:rPr>
          <w:rFonts w:hint="eastAsia"/>
          <w:sz w:val="28"/>
          <w:szCs w:val="24"/>
          <w:lang w:val="en-US" w:eastAsia="zh-CN"/>
        </w:rPr>
        <w:fldChar w:fldCharType="end"/>
      </w:r>
      <w:r>
        <w:rPr>
          <w:rFonts w:hint="eastAsia"/>
          <w:sz w:val="28"/>
          <w:szCs w:val="24"/>
          <w:lang w:val="en-US" w:eastAsia="zh-CN"/>
        </w:rPr>
        <w:t>0</w:t>
      </w:r>
    </w:p>
    <w:p>
      <w:pPr>
        <w:pStyle w:val="6"/>
        <w:tabs>
          <w:tab w:val="right" w:leader="dot" w:pos="8640"/>
        </w:tabs>
        <w:spacing w:line="480" w:lineRule="exact"/>
        <w:rPr>
          <w:rFonts w:hint="eastAsia"/>
          <w:sz w:val="28"/>
          <w:szCs w:val="24"/>
          <w:lang w:val="en-US" w:eastAsia="zh-CN"/>
        </w:rPr>
      </w:pPr>
      <w:r>
        <w:rPr>
          <w:rFonts w:hint="eastAsia"/>
          <w:sz w:val="28"/>
          <w:szCs w:val="24"/>
        </w:rPr>
        <w:fldChar w:fldCharType="begin"/>
      </w:r>
      <w:r>
        <w:rPr>
          <w:rFonts w:hint="eastAsia"/>
          <w:sz w:val="28"/>
          <w:szCs w:val="24"/>
        </w:rPr>
        <w:instrText xml:space="preserve"> HYPERLINK \l _Toc29975 </w:instrText>
      </w:r>
      <w:r>
        <w:rPr>
          <w:rFonts w:hint="eastAsia"/>
          <w:sz w:val="28"/>
          <w:szCs w:val="24"/>
        </w:rPr>
        <w:fldChar w:fldCharType="separate"/>
      </w:r>
      <w:r>
        <w:rPr>
          <w:rFonts w:hint="eastAsia"/>
          <w:sz w:val="28"/>
          <w:szCs w:val="24"/>
        </w:rPr>
        <w:t>（九）一般公共预算财政拨款</w:t>
      </w:r>
      <w:r>
        <w:rPr>
          <w:rFonts w:hint="default"/>
          <w:sz w:val="28"/>
          <w:szCs w:val="24"/>
        </w:rPr>
        <w:t>“</w:t>
      </w:r>
      <w:r>
        <w:rPr>
          <w:rFonts w:hint="eastAsia"/>
          <w:sz w:val="28"/>
          <w:szCs w:val="24"/>
        </w:rPr>
        <w:t>三公</w:t>
      </w:r>
      <w:r>
        <w:rPr>
          <w:rFonts w:hint="default"/>
          <w:sz w:val="28"/>
          <w:szCs w:val="24"/>
        </w:rPr>
        <w:t>”</w:t>
      </w:r>
      <w:r>
        <w:rPr>
          <w:rFonts w:hint="eastAsia"/>
          <w:sz w:val="28"/>
          <w:szCs w:val="24"/>
        </w:rPr>
        <w:t>经费支出决算情况</w:t>
      </w:r>
      <w:r>
        <w:rPr>
          <w:rFonts w:hint="eastAsia" w:ascii="楷体" w:hAnsi="楷体" w:eastAsia="楷体"/>
          <w:sz w:val="28"/>
          <w:szCs w:val="24"/>
          <w:highlight w:val="white"/>
        </w:rPr>
        <w:t>说明</w:t>
      </w:r>
      <w:r>
        <w:rPr>
          <w:rFonts w:hint="default"/>
          <w:sz w:val="28"/>
          <w:szCs w:val="24"/>
        </w:rPr>
        <w:tab/>
      </w:r>
      <w:r>
        <w:rPr>
          <w:rFonts w:hint="eastAsia"/>
          <w:sz w:val="28"/>
          <w:szCs w:val="24"/>
          <w:lang w:val="en-US" w:eastAsia="zh-CN"/>
        </w:rPr>
        <w:t>1</w:t>
      </w:r>
      <w:r>
        <w:rPr>
          <w:rFonts w:hint="eastAsia"/>
          <w:sz w:val="28"/>
          <w:szCs w:val="24"/>
          <w:lang w:val="en-US" w:eastAsia="zh-CN"/>
        </w:rPr>
        <w:fldChar w:fldCharType="end"/>
      </w:r>
      <w:r>
        <w:rPr>
          <w:rFonts w:hint="eastAsia"/>
          <w:sz w:val="28"/>
          <w:szCs w:val="24"/>
          <w:lang w:val="en-US" w:eastAsia="zh-CN"/>
        </w:rPr>
        <w:t>1</w:t>
      </w:r>
    </w:p>
    <w:p>
      <w:pPr>
        <w:pStyle w:val="6"/>
        <w:tabs>
          <w:tab w:val="right" w:leader="dot" w:pos="8640"/>
        </w:tabs>
        <w:spacing w:line="480" w:lineRule="exact"/>
        <w:rPr>
          <w:rFonts w:hint="eastAsia"/>
          <w:sz w:val="28"/>
          <w:szCs w:val="24"/>
          <w:lang w:val="en-US" w:eastAsia="zh-CN"/>
        </w:rPr>
      </w:pPr>
      <w:r>
        <w:rPr>
          <w:rFonts w:hint="eastAsia"/>
          <w:sz w:val="28"/>
          <w:szCs w:val="24"/>
        </w:rPr>
        <w:fldChar w:fldCharType="begin"/>
      </w:r>
      <w:r>
        <w:rPr>
          <w:rFonts w:hint="eastAsia"/>
          <w:sz w:val="28"/>
          <w:szCs w:val="24"/>
        </w:rPr>
        <w:instrText xml:space="preserve"> HYPERLINK \l _Toc28261 </w:instrText>
      </w:r>
      <w:r>
        <w:rPr>
          <w:rFonts w:hint="eastAsia"/>
          <w:sz w:val="28"/>
          <w:szCs w:val="24"/>
        </w:rPr>
        <w:fldChar w:fldCharType="separate"/>
      </w:r>
      <w:r>
        <w:rPr>
          <w:rFonts w:hint="eastAsia"/>
          <w:sz w:val="28"/>
          <w:szCs w:val="24"/>
        </w:rPr>
        <w:t>（十）机关运行经费支出说明</w:t>
      </w:r>
      <w:r>
        <w:rPr>
          <w:rFonts w:hint="default"/>
          <w:sz w:val="28"/>
          <w:szCs w:val="24"/>
        </w:rPr>
        <w:tab/>
      </w:r>
      <w:r>
        <w:rPr>
          <w:rFonts w:hint="eastAsia"/>
          <w:sz w:val="28"/>
          <w:szCs w:val="24"/>
        </w:rPr>
        <w:t>1</w:t>
      </w:r>
      <w:r>
        <w:rPr>
          <w:rFonts w:hint="eastAsia"/>
          <w:sz w:val="28"/>
          <w:szCs w:val="24"/>
        </w:rPr>
        <w:fldChar w:fldCharType="end"/>
      </w:r>
      <w:r>
        <w:rPr>
          <w:rFonts w:hint="eastAsia"/>
          <w:sz w:val="28"/>
          <w:szCs w:val="24"/>
          <w:lang w:val="en-US" w:eastAsia="zh-CN"/>
        </w:rPr>
        <w:t>2</w:t>
      </w:r>
    </w:p>
    <w:p>
      <w:pPr>
        <w:pStyle w:val="6"/>
        <w:tabs>
          <w:tab w:val="right" w:leader="dot" w:pos="8640"/>
        </w:tabs>
        <w:spacing w:line="480" w:lineRule="exact"/>
        <w:rPr>
          <w:rFonts w:hint="eastAsia"/>
          <w:sz w:val="28"/>
          <w:szCs w:val="24"/>
          <w:lang w:val="en-US" w:eastAsia="zh-CN"/>
        </w:rPr>
      </w:pPr>
      <w:r>
        <w:rPr>
          <w:rFonts w:hint="eastAsia"/>
          <w:sz w:val="28"/>
          <w:szCs w:val="24"/>
        </w:rPr>
        <w:fldChar w:fldCharType="begin"/>
      </w:r>
      <w:r>
        <w:rPr>
          <w:rFonts w:hint="eastAsia"/>
          <w:sz w:val="28"/>
          <w:szCs w:val="24"/>
        </w:rPr>
        <w:instrText xml:space="preserve"> HYPERLINK \l _Toc26781 </w:instrText>
      </w:r>
      <w:r>
        <w:rPr>
          <w:rFonts w:hint="eastAsia"/>
          <w:sz w:val="28"/>
          <w:szCs w:val="24"/>
        </w:rPr>
        <w:fldChar w:fldCharType="separate"/>
      </w:r>
      <w:r>
        <w:rPr>
          <w:rFonts w:hint="eastAsia"/>
          <w:sz w:val="28"/>
          <w:szCs w:val="24"/>
        </w:rPr>
        <w:t>（十一）政府采购支出说明</w:t>
      </w:r>
      <w:r>
        <w:rPr>
          <w:rFonts w:hint="default"/>
          <w:sz w:val="28"/>
          <w:szCs w:val="24"/>
        </w:rPr>
        <w:tab/>
      </w:r>
      <w:r>
        <w:rPr>
          <w:rFonts w:hint="eastAsia"/>
          <w:sz w:val="28"/>
          <w:szCs w:val="24"/>
          <w:lang w:val="en-US" w:eastAsia="zh-CN"/>
        </w:rPr>
        <w:t>1</w:t>
      </w:r>
      <w:r>
        <w:rPr>
          <w:rFonts w:hint="eastAsia"/>
          <w:sz w:val="28"/>
          <w:szCs w:val="24"/>
          <w:lang w:val="en-US" w:eastAsia="zh-CN"/>
        </w:rPr>
        <w:fldChar w:fldCharType="end"/>
      </w:r>
      <w:r>
        <w:rPr>
          <w:rFonts w:hint="eastAsia"/>
          <w:sz w:val="28"/>
          <w:szCs w:val="24"/>
          <w:lang w:val="en-US" w:eastAsia="zh-CN"/>
        </w:rPr>
        <w:t>3</w:t>
      </w:r>
    </w:p>
    <w:p>
      <w:pPr>
        <w:pStyle w:val="6"/>
        <w:tabs>
          <w:tab w:val="right" w:leader="dot" w:pos="8640"/>
        </w:tabs>
        <w:spacing w:line="480" w:lineRule="exact"/>
        <w:rPr>
          <w:rFonts w:hint="eastAsia"/>
          <w:sz w:val="28"/>
          <w:szCs w:val="24"/>
          <w:lang w:val="en-US" w:eastAsia="zh-CN"/>
        </w:rPr>
      </w:pPr>
      <w:r>
        <w:rPr>
          <w:rFonts w:hint="eastAsia"/>
          <w:sz w:val="28"/>
          <w:szCs w:val="24"/>
        </w:rPr>
        <w:fldChar w:fldCharType="begin"/>
      </w:r>
      <w:r>
        <w:rPr>
          <w:rFonts w:hint="eastAsia"/>
          <w:sz w:val="28"/>
          <w:szCs w:val="24"/>
        </w:rPr>
        <w:instrText xml:space="preserve"> HYPERLINK \l _Toc15035 </w:instrText>
      </w:r>
      <w:r>
        <w:rPr>
          <w:rFonts w:hint="eastAsia"/>
          <w:sz w:val="28"/>
          <w:szCs w:val="24"/>
        </w:rPr>
        <w:fldChar w:fldCharType="separate"/>
      </w:r>
      <w:r>
        <w:rPr>
          <w:rFonts w:hint="eastAsia"/>
          <w:sz w:val="28"/>
          <w:szCs w:val="24"/>
        </w:rPr>
        <w:t>（十二）国有资产占有情况说明</w:t>
      </w:r>
      <w:r>
        <w:rPr>
          <w:rFonts w:hint="default"/>
          <w:sz w:val="28"/>
          <w:szCs w:val="24"/>
        </w:rPr>
        <w:tab/>
      </w:r>
      <w:r>
        <w:rPr>
          <w:rFonts w:hint="eastAsia"/>
          <w:sz w:val="28"/>
          <w:szCs w:val="24"/>
          <w:lang w:val="en-US" w:eastAsia="zh-CN"/>
        </w:rPr>
        <w:t>1</w:t>
      </w:r>
      <w:r>
        <w:rPr>
          <w:rFonts w:hint="eastAsia"/>
          <w:sz w:val="28"/>
          <w:szCs w:val="24"/>
          <w:lang w:val="en-US" w:eastAsia="zh-CN"/>
        </w:rPr>
        <w:fldChar w:fldCharType="end"/>
      </w:r>
      <w:r>
        <w:rPr>
          <w:rFonts w:hint="eastAsia"/>
          <w:sz w:val="28"/>
          <w:szCs w:val="24"/>
          <w:lang w:val="en-US" w:eastAsia="zh-CN"/>
        </w:rPr>
        <w:t>3</w:t>
      </w:r>
    </w:p>
    <w:p>
      <w:pPr>
        <w:pStyle w:val="6"/>
        <w:tabs>
          <w:tab w:val="right" w:leader="dot" w:pos="8640"/>
        </w:tabs>
        <w:spacing w:line="480" w:lineRule="exact"/>
        <w:rPr>
          <w:rFonts w:hint="eastAsia"/>
          <w:sz w:val="21"/>
          <w:szCs w:val="24"/>
          <w:lang w:val="en-US" w:eastAsia="zh-CN"/>
        </w:rPr>
      </w:pPr>
      <w:r>
        <w:rPr>
          <w:rFonts w:hint="eastAsia"/>
          <w:sz w:val="28"/>
          <w:szCs w:val="24"/>
        </w:rPr>
        <w:fldChar w:fldCharType="begin"/>
      </w:r>
      <w:r>
        <w:rPr>
          <w:rFonts w:hint="eastAsia"/>
          <w:sz w:val="28"/>
          <w:szCs w:val="24"/>
        </w:rPr>
        <w:instrText xml:space="preserve"> HYPERLINK \l _Toc26750 </w:instrText>
      </w:r>
      <w:r>
        <w:rPr>
          <w:rFonts w:hint="eastAsia"/>
          <w:sz w:val="28"/>
          <w:szCs w:val="24"/>
        </w:rPr>
        <w:fldChar w:fldCharType="separate"/>
      </w:r>
      <w:r>
        <w:rPr>
          <w:rFonts w:hint="eastAsia"/>
          <w:sz w:val="28"/>
          <w:szCs w:val="24"/>
        </w:rPr>
        <w:t>（十三）预算绩效情况说明</w:t>
      </w:r>
      <w:r>
        <w:rPr>
          <w:rFonts w:hint="default"/>
          <w:sz w:val="28"/>
          <w:szCs w:val="24"/>
        </w:rPr>
        <w:tab/>
      </w:r>
      <w:r>
        <w:rPr>
          <w:rFonts w:hint="eastAsia"/>
          <w:sz w:val="28"/>
          <w:szCs w:val="24"/>
          <w:lang w:val="en-US" w:eastAsia="zh-CN"/>
        </w:rPr>
        <w:t>1</w:t>
      </w:r>
      <w:r>
        <w:rPr>
          <w:rFonts w:hint="eastAsia"/>
          <w:sz w:val="28"/>
          <w:szCs w:val="24"/>
          <w:lang w:val="en-US" w:eastAsia="zh-CN"/>
        </w:rPr>
        <w:fldChar w:fldCharType="end"/>
      </w:r>
      <w:r>
        <w:rPr>
          <w:rFonts w:hint="eastAsia"/>
          <w:sz w:val="28"/>
          <w:szCs w:val="24"/>
          <w:lang w:val="en-US" w:eastAsia="zh-CN"/>
        </w:rPr>
        <w:t>4</w:t>
      </w:r>
    </w:p>
    <w:p>
      <w:pPr>
        <w:autoSpaceDE w:val="0"/>
        <w:autoSpaceDN w:val="0"/>
        <w:adjustRightInd w:val="0"/>
        <w:spacing w:line="480" w:lineRule="exact"/>
        <w:rPr>
          <w:rFonts w:hint="eastAsia"/>
          <w:sz w:val="28"/>
          <w:szCs w:val="24"/>
          <w:lang w:val="en-US" w:eastAsia="zh-CN"/>
        </w:rPr>
      </w:pPr>
      <w:r>
        <w:rPr>
          <w:rFonts w:hint="eastAsia"/>
          <w:sz w:val="28"/>
          <w:szCs w:val="24"/>
        </w:rPr>
        <w:fldChar w:fldCharType="begin"/>
      </w:r>
      <w:r>
        <w:rPr>
          <w:rFonts w:hint="eastAsia"/>
          <w:sz w:val="28"/>
          <w:szCs w:val="24"/>
        </w:rPr>
        <w:instrText xml:space="preserve"> HYPERLINK \l _Toc32659 </w:instrText>
      </w:r>
      <w:r>
        <w:rPr>
          <w:rFonts w:hint="eastAsia"/>
          <w:sz w:val="28"/>
          <w:szCs w:val="24"/>
        </w:rPr>
        <w:fldChar w:fldCharType="separate"/>
      </w:r>
      <w:r>
        <w:rPr>
          <w:rFonts w:hint="eastAsia"/>
          <w:sz w:val="28"/>
          <w:szCs w:val="24"/>
        </w:rPr>
        <w:t>四、名词解释...............................................................................................</w:t>
      </w:r>
      <w:r>
        <w:rPr>
          <w:rFonts w:hint="eastAsia"/>
          <w:sz w:val="28"/>
          <w:szCs w:val="24"/>
          <w:lang w:val="en-US" w:eastAsia="zh-CN"/>
        </w:rPr>
        <w:t>2</w:t>
      </w:r>
      <w:r>
        <w:rPr>
          <w:rFonts w:hint="eastAsia"/>
          <w:sz w:val="28"/>
          <w:szCs w:val="24"/>
          <w:lang w:val="en-US" w:eastAsia="zh-CN"/>
        </w:rPr>
        <w:fldChar w:fldCharType="end"/>
      </w:r>
      <w:r>
        <w:rPr>
          <w:rFonts w:hint="eastAsia"/>
          <w:sz w:val="28"/>
          <w:szCs w:val="24"/>
          <w:lang w:val="en-US" w:eastAsia="zh-CN"/>
        </w:rPr>
        <w:t>0</w:t>
      </w:r>
    </w:p>
    <w:p>
      <w:pPr>
        <w:autoSpaceDE w:val="0"/>
        <w:autoSpaceDN w:val="0"/>
        <w:adjustRightInd w:val="0"/>
        <w:spacing w:line="480" w:lineRule="exact"/>
        <w:rPr>
          <w:rFonts w:hint="default"/>
          <w:sz w:val="28"/>
          <w:szCs w:val="24"/>
          <w:lang w:val="en-US" w:eastAsia="zh-CN"/>
        </w:rPr>
        <w:sectPr>
          <w:pgSz w:w="12240" w:h="15840"/>
          <w:pgMar w:top="1440" w:right="1800" w:bottom="1440" w:left="1800" w:header="720" w:footer="720" w:gutter="0"/>
          <w:lnNumType w:countBy="0" w:distance="360"/>
          <w:cols w:space="720" w:num="1"/>
        </w:sectPr>
      </w:pPr>
      <w:r>
        <w:rPr>
          <w:rFonts w:hint="eastAsia"/>
          <w:sz w:val="28"/>
          <w:szCs w:val="24"/>
          <w:lang w:val="en-US" w:eastAsia="zh-CN"/>
        </w:rPr>
        <w:t>五、附表.......................................................................................................24</w:t>
      </w:r>
    </w:p>
    <w:p>
      <w:pPr>
        <w:pStyle w:val="2"/>
        <w:spacing w:line="480" w:lineRule="exact"/>
        <w:ind w:firstLine="643" w:firstLineChars="200"/>
        <w:rPr>
          <w:rFonts w:hint="eastAsia"/>
          <w:sz w:val="32"/>
          <w:szCs w:val="24"/>
          <w:lang w:val="en-US"/>
        </w:rPr>
      </w:pPr>
      <w:bookmarkStart w:id="0" w:name="_Toc4081"/>
      <w:r>
        <w:rPr>
          <w:rFonts w:hint="eastAsia"/>
          <w:sz w:val="32"/>
          <w:szCs w:val="24"/>
          <w:lang w:val="en-US"/>
        </w:rPr>
        <w:t>一、概况</w:t>
      </w:r>
      <w:bookmarkEnd w:id="0"/>
    </w:p>
    <w:p>
      <w:pPr>
        <w:spacing w:line="480" w:lineRule="exact"/>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（一）单位职责</w:t>
      </w:r>
    </w:p>
    <w:p>
      <w:pPr>
        <w:widowControl w:val="0"/>
        <w:spacing w:line="560" w:lineRule="exact"/>
        <w:ind w:firstLine="640" w:firstLineChars="200"/>
        <w:rPr>
          <w:rFonts w:hint="eastAsia" w:ascii="仿宋" w:hAnsi="仿宋" w:eastAsia="仿宋"/>
          <w:sz w:val="32"/>
          <w:szCs w:val="24"/>
        </w:rPr>
      </w:pPr>
      <w:r>
        <w:rPr>
          <w:rFonts w:hint="eastAsia" w:ascii="仿宋" w:hAnsi="仿宋" w:eastAsia="仿宋"/>
          <w:sz w:val="32"/>
          <w:szCs w:val="24"/>
          <w:lang w:val="en-US" w:eastAsia="zh-CN"/>
        </w:rPr>
        <w:t>1.</w:t>
      </w:r>
      <w:r>
        <w:rPr>
          <w:rFonts w:hint="eastAsia" w:ascii="仿宋" w:hAnsi="仿宋" w:eastAsia="仿宋"/>
          <w:sz w:val="32"/>
          <w:szCs w:val="24"/>
        </w:rPr>
        <w:t>贯彻执行党和国家关于文化、广播电视、旅游、体育和文物的路线、方针、政策和法律、法规、规章。拟订文化、广播电视、旅游、体育和文物事业的政策和行政(行业)管理规范性文件，拟订全县文化、广播电视、旅游、体育和文物事业发展战略、发展规划，并组织实施。</w:t>
      </w:r>
    </w:p>
    <w:p>
      <w:pPr>
        <w:widowControl w:val="0"/>
        <w:spacing w:line="560" w:lineRule="exact"/>
        <w:ind w:firstLine="640" w:firstLineChars="200"/>
        <w:rPr>
          <w:rFonts w:hint="eastAsia" w:ascii="仿宋" w:hAnsi="仿宋" w:eastAsia="仿宋"/>
          <w:sz w:val="32"/>
          <w:szCs w:val="24"/>
          <w:lang w:eastAsia="zh-CN"/>
        </w:rPr>
      </w:pPr>
      <w:r>
        <w:rPr>
          <w:rFonts w:hint="eastAsia" w:ascii="仿宋" w:hAnsi="仿宋" w:eastAsia="仿宋"/>
          <w:sz w:val="32"/>
          <w:szCs w:val="24"/>
          <w:lang w:val="en-US" w:eastAsia="zh-CN"/>
        </w:rPr>
        <w:t>2.</w:t>
      </w:r>
      <w:r>
        <w:rPr>
          <w:rFonts w:hint="eastAsia" w:ascii="仿宋" w:hAnsi="仿宋" w:eastAsia="仿宋"/>
          <w:sz w:val="32"/>
          <w:szCs w:val="24"/>
        </w:rPr>
        <w:t>推进全县文化、广播电视、旅游、体育和文物体制机制改革，促进文化、广电、旅游、体育融合发展。负责全县文化、广播电视、旅游、体育和文物人才队伍建设</w:t>
      </w:r>
      <w:r>
        <w:rPr>
          <w:rFonts w:hint="eastAsia" w:ascii="仿宋" w:hAnsi="仿宋" w:eastAsia="仿宋"/>
          <w:sz w:val="32"/>
          <w:szCs w:val="24"/>
          <w:lang w:eastAsia="zh-CN"/>
        </w:rPr>
        <w:t>。</w:t>
      </w:r>
    </w:p>
    <w:p>
      <w:pPr>
        <w:widowControl w:val="0"/>
        <w:spacing w:line="560" w:lineRule="exact"/>
        <w:ind w:firstLine="640" w:firstLineChars="200"/>
        <w:rPr>
          <w:rFonts w:hint="eastAsia" w:ascii="仿宋" w:hAnsi="仿宋" w:eastAsia="仿宋"/>
          <w:sz w:val="32"/>
          <w:szCs w:val="24"/>
        </w:rPr>
      </w:pPr>
      <w:r>
        <w:rPr>
          <w:rFonts w:hint="eastAsia" w:ascii="仿宋" w:hAnsi="仿宋" w:eastAsia="仿宋"/>
          <w:sz w:val="32"/>
          <w:szCs w:val="24"/>
          <w:lang w:val="en-US" w:eastAsia="zh-CN"/>
        </w:rPr>
        <w:t>3.</w:t>
      </w:r>
      <w:r>
        <w:rPr>
          <w:rFonts w:hint="eastAsia" w:ascii="仿宋" w:hAnsi="仿宋" w:eastAsia="仿宋"/>
          <w:sz w:val="32"/>
          <w:szCs w:val="24"/>
        </w:rPr>
        <w:t>践行社会主义核心价值观，把握正确导向，指导、管理文艺事业，指导具有导向性代表性示范性文艺作品的创作生产，推动各门类艺术、各艺术品种发展。指导、协调全县重大文化和旅游、体育活动。统筹规划竞技体育、青少年体育发展，研究全县竞技体育运动项目设置与重点布局，并组织落实。</w:t>
      </w:r>
    </w:p>
    <w:p>
      <w:pPr>
        <w:widowControl w:val="0"/>
        <w:spacing w:line="560" w:lineRule="exact"/>
        <w:ind w:firstLine="640" w:firstLineChars="200"/>
        <w:rPr>
          <w:rFonts w:hint="eastAsia" w:ascii="仿宋" w:hAnsi="仿宋" w:eastAsia="仿宋"/>
          <w:sz w:val="32"/>
          <w:szCs w:val="24"/>
        </w:rPr>
      </w:pPr>
      <w:r>
        <w:rPr>
          <w:rFonts w:hint="eastAsia" w:ascii="仿宋" w:hAnsi="仿宋" w:eastAsia="仿宋"/>
          <w:sz w:val="32"/>
          <w:szCs w:val="24"/>
          <w:lang w:val="en-US" w:eastAsia="zh-CN"/>
        </w:rPr>
        <w:t>4.</w:t>
      </w:r>
      <w:r>
        <w:rPr>
          <w:rFonts w:hint="eastAsia" w:ascii="仿宋" w:hAnsi="仿宋" w:eastAsia="仿宋"/>
          <w:sz w:val="32"/>
          <w:szCs w:val="24"/>
        </w:rPr>
        <w:t>负责全县公共文化事业发展，统筹推进基本公共文化服务标准化、均等化。推进全县公共文化服务体系建设和旅游、体育公共服务建设，指导县重点及乡镇(街道)文化和旅游、体育设施建设，深入实施文化和旅游、体育惠民工程。指导落实《全民健身条例》，监督实施国家体育锻炼标准。</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5.</w:t>
      </w:r>
      <w:r>
        <w:rPr>
          <w:rFonts w:hint="eastAsia" w:ascii="仿宋" w:hAnsi="仿宋" w:eastAsia="仿宋"/>
          <w:sz w:val="32"/>
          <w:szCs w:val="24"/>
        </w:rPr>
        <w:t>负责全县广播电视行业监管。组织实施广播电视公共服务重大公益工程和公益活动，监督管理广播电视节目、卫星电视节目收录和通过信息网络向公众传播的视听节目。指导、监督广播电视广告播放。指导推进广播电视与新媒体新技术新业态融合发展，推进广电网与电信网、互联网三网融合。</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6.</w:t>
      </w:r>
      <w:r>
        <w:rPr>
          <w:rFonts w:hint="eastAsia" w:ascii="仿宋" w:hAnsi="仿宋" w:eastAsia="仿宋"/>
          <w:sz w:val="32"/>
          <w:szCs w:val="24"/>
        </w:rPr>
        <w:t>负责全县文物保护利用工作。负责推动完善文物和博物馆公共服务体系建设，综合管理全县文物、考古、博物馆事业，负责指导社会文物工作。负责世界文化遗产的推荐申报和保护管理工作，协同相关部门负责世界文化和自然双重遗产、历史文化名城(镇、村)、历史文化(传统)村落的推荐申报和保护管理工作。</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7.</w:t>
      </w:r>
      <w:r>
        <w:rPr>
          <w:rFonts w:hint="eastAsia" w:ascii="仿宋" w:hAnsi="仿宋" w:eastAsia="仿宋"/>
          <w:sz w:val="32"/>
          <w:szCs w:val="24"/>
        </w:rPr>
        <w:t>指导、推进全域旅游。拟订文化相关门类和旅游、体育产业发展规划并组织实施，指导文化和旅游、体育重大项目建设，指导文化相关门类和旅游、体育产业结构优化升级，促进文化和旅游、体育产业高质量发展。</w:t>
      </w:r>
      <w:r>
        <w:rPr>
          <w:rFonts w:hint="eastAsia" w:ascii="仿宋" w:hAnsi="仿宋" w:eastAsia="仿宋"/>
          <w:sz w:val="32"/>
          <w:szCs w:val="24"/>
          <w:lang w:eastAsia="zh-CN"/>
        </w:rPr>
        <w:t>统筹管理全县乡村旅游，负责</w:t>
      </w:r>
      <w:r>
        <w:rPr>
          <w:rFonts w:hint="eastAsia" w:ascii="仿宋" w:hAnsi="仿宋" w:eastAsia="仿宋"/>
          <w:sz w:val="32"/>
          <w:szCs w:val="24"/>
        </w:rPr>
        <w:t>农家乐规范管理</w:t>
      </w:r>
      <w:r>
        <w:rPr>
          <w:rFonts w:hint="eastAsia" w:ascii="仿宋" w:hAnsi="仿宋" w:eastAsia="仿宋"/>
          <w:sz w:val="32"/>
          <w:szCs w:val="24"/>
          <w:lang w:eastAsia="zh-CN"/>
        </w:rPr>
        <w:t>。</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8.</w:t>
      </w:r>
      <w:r>
        <w:rPr>
          <w:rFonts w:hint="eastAsia" w:ascii="仿宋" w:hAnsi="仿宋" w:eastAsia="仿宋"/>
          <w:sz w:val="32"/>
          <w:szCs w:val="24"/>
        </w:rPr>
        <w:t>组织实施全县文化和旅游，体育资源普查、挖掘、保护和利用工作。负责全县非物质文化遗产保护，推动非物质文化遗产传</w:t>
      </w:r>
      <w:r>
        <w:rPr>
          <w:rFonts w:hint="eastAsia" w:ascii="仿宋" w:hAnsi="仿宋" w:eastAsia="仿宋"/>
          <w:sz w:val="32"/>
          <w:szCs w:val="24"/>
          <w:lang w:eastAsia="zh-CN"/>
        </w:rPr>
        <w:t>承</w:t>
      </w:r>
      <w:r>
        <w:rPr>
          <w:rFonts w:hint="eastAsia" w:ascii="仿宋" w:hAnsi="仿宋" w:eastAsia="仿宋"/>
          <w:sz w:val="32"/>
          <w:szCs w:val="24"/>
        </w:rPr>
        <w:t>、普及、弘扬和振兴，推动非</w:t>
      </w:r>
      <w:r>
        <w:rPr>
          <w:rFonts w:hint="eastAsia" w:ascii="仿宋" w:hAnsi="仿宋" w:eastAsia="仿宋"/>
          <w:sz w:val="32"/>
          <w:szCs w:val="24"/>
          <w:lang w:eastAsia="zh-CN"/>
        </w:rPr>
        <w:t>遗</w:t>
      </w:r>
      <w:r>
        <w:rPr>
          <w:rFonts w:hint="eastAsia" w:ascii="仿宋" w:hAnsi="仿宋" w:eastAsia="仿宋"/>
          <w:sz w:val="32"/>
          <w:szCs w:val="24"/>
        </w:rPr>
        <w:t>文创产品开发。推进全县优秀传统文化传承发展。</w:t>
      </w:r>
    </w:p>
    <w:p>
      <w:pPr>
        <w:widowControl w:val="0"/>
        <w:spacing w:line="560" w:lineRule="exact"/>
        <w:ind w:firstLine="640" w:firstLineChars="200"/>
        <w:rPr>
          <w:rFonts w:hint="eastAsia" w:ascii="仿宋" w:hAnsi="仿宋" w:eastAsia="仿宋"/>
          <w:sz w:val="32"/>
          <w:szCs w:val="24"/>
        </w:rPr>
      </w:pPr>
      <w:r>
        <w:rPr>
          <w:rFonts w:hint="eastAsia" w:ascii="仿宋" w:hAnsi="仿宋" w:eastAsia="仿宋"/>
          <w:sz w:val="32"/>
          <w:szCs w:val="24"/>
          <w:lang w:val="en-US" w:eastAsia="zh-CN"/>
        </w:rPr>
        <w:t>9.</w:t>
      </w:r>
      <w:r>
        <w:rPr>
          <w:rFonts w:hint="eastAsia" w:ascii="仿宋" w:hAnsi="仿宋" w:eastAsia="仿宋"/>
          <w:sz w:val="32"/>
          <w:szCs w:val="24"/>
        </w:rPr>
        <w:t>监督管理全县文化和旅游、体育市场主体经营行为。依法规范文化和旅游、体育市场，负责全县文化、广播电视、旅游、体育、文物行政审批工作。指导推动文化和旅游、体育企业质量管理与品牌培育，推进行业精神文明和信用体系建设。负责组织文化、旅游</w:t>
      </w:r>
      <w:r>
        <w:rPr>
          <w:rFonts w:hint="eastAsia" w:ascii="仿宋" w:hAnsi="仿宋" w:eastAsia="仿宋"/>
          <w:sz w:val="32"/>
          <w:szCs w:val="24"/>
          <w:lang w:eastAsia="zh-CN"/>
        </w:rPr>
        <w:t>、</w:t>
      </w:r>
      <w:r>
        <w:rPr>
          <w:rFonts w:hint="eastAsia" w:ascii="仿宋" w:hAnsi="仿宋" w:eastAsia="仿宋"/>
          <w:sz w:val="32"/>
          <w:szCs w:val="24"/>
        </w:rPr>
        <w:t>体育从业人员教育培训和岗位资格考试颁证工作，推进文化和旅游行业信息化、标准化建设。</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10.</w:t>
      </w:r>
      <w:r>
        <w:rPr>
          <w:rFonts w:hint="eastAsia" w:ascii="仿宋" w:hAnsi="仿宋" w:eastAsia="仿宋"/>
          <w:sz w:val="32"/>
          <w:szCs w:val="24"/>
        </w:rPr>
        <w:t>负责全县文化市场综合行政执法，维护市场秩序。负责全县文化、新闻出版、广播电视、电影、旅游、体育、文物行政执法工作。指导全县文化和旅游、体育行业安全稳定工作，</w:t>
      </w:r>
      <w:r>
        <w:rPr>
          <w:rFonts w:hint="eastAsia" w:ascii="仿宋" w:hAnsi="仿宋" w:eastAsia="仿宋"/>
          <w:sz w:val="32"/>
          <w:szCs w:val="24"/>
          <w:lang w:val="en-US" w:eastAsia="zh-CN"/>
        </w:rPr>
        <w:t>负责</w:t>
      </w:r>
      <w:r>
        <w:rPr>
          <w:rFonts w:hint="eastAsia" w:ascii="仿宋" w:hAnsi="仿宋" w:eastAsia="仿宋"/>
          <w:sz w:val="32"/>
          <w:szCs w:val="24"/>
        </w:rPr>
        <w:t>文化和广播电视、旅游、体育、文物行业安全监督管理。</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11.</w:t>
      </w:r>
      <w:r>
        <w:rPr>
          <w:rFonts w:hint="eastAsia" w:ascii="仿宋" w:hAnsi="仿宋" w:eastAsia="仿宋"/>
          <w:sz w:val="32"/>
          <w:szCs w:val="24"/>
        </w:rPr>
        <w:t>负责全县文化和旅游、体育整体形象宣传推广。制定全县市场开发计划并实施，组织和开展各类文化和旅游、体育营销推广活动，负责对外文化、旅游、体育交流与合作。</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12.</w:t>
      </w:r>
      <w:r>
        <w:rPr>
          <w:rFonts w:hint="eastAsia" w:ascii="仿宋" w:hAnsi="仿宋" w:eastAsia="仿宋"/>
          <w:sz w:val="32"/>
          <w:szCs w:val="24"/>
        </w:rPr>
        <w:t>完成县委、县政府交办的其他任务。</w:t>
      </w:r>
      <w:r>
        <w:rPr>
          <w:rFonts w:hint="eastAsia" w:ascii="仿宋" w:hAnsi="仿宋" w:eastAsia="仿宋"/>
          <w:sz w:val="32"/>
          <w:szCs w:val="24"/>
        </w:rPr>
        <w:br w:type="textWrapping"/>
      </w:r>
      <w:r>
        <w:rPr>
          <w:rFonts w:hint="eastAsia" w:ascii="仿宋" w:hAnsi="仿宋" w:eastAsia="仿宋"/>
          <w:sz w:val="32"/>
          <w:szCs w:val="24"/>
          <w:lang w:val="en-US" w:eastAsia="zh-CN"/>
        </w:rPr>
        <w:t xml:space="preserve">    13.</w:t>
      </w:r>
      <w:r>
        <w:rPr>
          <w:rFonts w:hint="eastAsia" w:ascii="仿宋" w:hAnsi="仿宋" w:eastAsia="仿宋"/>
          <w:sz w:val="32"/>
          <w:szCs w:val="24"/>
        </w:rPr>
        <w:t>职能转变。坚持把社会效益放在首位、社会效益和经济效益相统一的方针，牢固树立以人民为中心的发展思想和工作导向，深化“最多跑一次”改革，积</w:t>
      </w:r>
      <w:r>
        <w:rPr>
          <w:rFonts w:hint="eastAsia" w:ascii="仿宋" w:hAnsi="仿宋" w:eastAsia="仿宋"/>
          <w:sz w:val="32"/>
          <w:szCs w:val="24"/>
          <w:lang w:eastAsia="zh-CN"/>
        </w:rPr>
        <w:t>极</w:t>
      </w:r>
      <w:r>
        <w:rPr>
          <w:rFonts w:hint="eastAsia" w:ascii="仿宋" w:hAnsi="仿宋" w:eastAsia="仿宋"/>
          <w:sz w:val="32"/>
          <w:szCs w:val="24"/>
        </w:rPr>
        <w:t>实施文化旅游精品战略，持续推进文旅体阵地建设，大力实施文物保护和优秀传统文化传承发展工程，加快推进文化、旅游、体育产业融合发展，努力使公共服务体系更加完善，文化、旅游、体育产业更加壮大，人民精神文化生活更加丰富，文化、旅游、体育创造力传播力影响力显著增强。</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（二）机构设置</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从预算单位构成看，本单位内设：办公室、</w:t>
      </w:r>
      <w:r>
        <w:rPr>
          <w:rFonts w:hint="eastAsia" w:ascii="仿宋" w:hAnsi="仿宋" w:eastAsia="仿宋"/>
          <w:color w:val="000000"/>
          <w:sz w:val="32"/>
          <w:szCs w:val="24"/>
          <w:highlight w:val="white"/>
          <w:lang w:val="en-US" w:eastAsia="zh-CN"/>
        </w:rPr>
        <w:t>公共服务科、行业管理科、产业发展科、体育发展科、文物科</w:t>
      </w:r>
      <w:r>
        <w:rPr>
          <w:rFonts w:hint="eastAsia" w:ascii="仿宋" w:hAnsi="仿宋" w:eastAsia="仿宋"/>
          <w:color w:val="000000"/>
          <w:sz w:val="32"/>
          <w:szCs w:val="24"/>
          <w:highlight w:val="white"/>
          <w:lang w:val="en-US"/>
        </w:rPr>
        <w:t>。</w:t>
      </w:r>
    </w:p>
    <w:p>
      <w:pPr>
        <w:pStyle w:val="2"/>
        <w:spacing w:line="560" w:lineRule="exact"/>
        <w:rPr>
          <w:rFonts w:hint="eastAsia"/>
          <w:sz w:val="32"/>
          <w:szCs w:val="24"/>
          <w:lang w:val="en-US"/>
        </w:rPr>
      </w:pPr>
      <w:bookmarkStart w:id="1" w:name="_Toc23514"/>
      <w:r>
        <w:rPr>
          <w:rFonts w:hint="eastAsia"/>
          <w:sz w:val="32"/>
          <w:szCs w:val="24"/>
          <w:lang w:val="en-US"/>
        </w:rPr>
        <w:t>二、2021年度单位决算公开表</w:t>
      </w:r>
      <w:bookmarkEnd w:id="1"/>
    </w:p>
    <w:p>
      <w:pPr>
        <w:spacing w:line="560" w:lineRule="exact"/>
        <w:ind w:firstLine="594"/>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详见附表</w:t>
      </w:r>
      <w:r>
        <w:rPr>
          <w:rFonts w:hint="eastAsia" w:ascii="仿宋_GB2312" w:hAnsi="仿宋_GB2312" w:eastAsia="仿宋_GB2312"/>
          <w:color w:val="000000"/>
          <w:sz w:val="32"/>
          <w:szCs w:val="24"/>
          <w:highlight w:val="white"/>
          <w:lang w:val="en-US"/>
        </w:rPr>
        <w:t>。</w:t>
      </w:r>
    </w:p>
    <w:p>
      <w:pPr>
        <w:pStyle w:val="2"/>
        <w:spacing w:line="560" w:lineRule="exact"/>
        <w:rPr>
          <w:rFonts w:hint="default"/>
          <w:sz w:val="32"/>
          <w:szCs w:val="24"/>
          <w:lang w:val="en-US"/>
        </w:rPr>
      </w:pPr>
      <w:bookmarkStart w:id="2" w:name="_Toc28941"/>
      <w:r>
        <w:rPr>
          <w:rFonts w:hint="eastAsia"/>
          <w:sz w:val="32"/>
          <w:szCs w:val="24"/>
          <w:lang w:val="zh-CN"/>
        </w:rPr>
        <w:t>三、</w:t>
      </w:r>
      <w:r>
        <w:rPr>
          <w:rFonts w:hint="eastAsia"/>
          <w:sz w:val="32"/>
          <w:szCs w:val="24"/>
          <w:lang w:val="en-US"/>
        </w:rPr>
        <w:t>2021年度单位决算情况说明</w:t>
      </w:r>
      <w:bookmarkEnd w:id="2"/>
    </w:p>
    <w:p>
      <w:pPr>
        <w:pStyle w:val="3"/>
        <w:spacing w:line="560" w:lineRule="exact"/>
        <w:rPr>
          <w:rFonts w:hint="default"/>
          <w:sz w:val="32"/>
          <w:szCs w:val="24"/>
          <w:lang w:val="en-US"/>
        </w:rPr>
      </w:pPr>
      <w:bookmarkStart w:id="3" w:name="_Toc3675"/>
      <w:r>
        <w:rPr>
          <w:rFonts w:hint="eastAsia"/>
          <w:sz w:val="32"/>
          <w:szCs w:val="24"/>
          <w:lang w:val="en-US"/>
        </w:rPr>
        <w:t>（一）收入支出决算总体情况说明</w:t>
      </w:r>
      <w:bookmarkEnd w:id="3"/>
    </w:p>
    <w:p>
      <w:pPr>
        <w:spacing w:line="560" w:lineRule="exact"/>
        <w:ind w:firstLine="640" w:firstLineChars="200"/>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202</w:t>
      </w:r>
      <w:r>
        <w:rPr>
          <w:rFonts w:hint="eastAsia" w:ascii="仿宋" w:hAnsi="仿宋" w:eastAsia="仿宋"/>
          <w:color w:val="000000"/>
          <w:sz w:val="32"/>
          <w:szCs w:val="24"/>
          <w:highlight w:val="white"/>
          <w:lang w:val="en-US" w:eastAsia="zh-CN"/>
        </w:rPr>
        <w:t>1</w:t>
      </w:r>
      <w:r>
        <w:rPr>
          <w:rFonts w:hint="eastAsia" w:ascii="仿宋" w:hAnsi="仿宋" w:eastAsia="仿宋"/>
          <w:color w:val="000000"/>
          <w:sz w:val="32"/>
          <w:szCs w:val="24"/>
          <w:highlight w:val="white"/>
          <w:lang w:val="en-US"/>
        </w:rPr>
        <w:t>年度收入总计</w:t>
      </w:r>
      <w:r>
        <w:rPr>
          <w:rFonts w:hint="eastAsia" w:ascii="仿宋" w:hAnsi="仿宋" w:eastAsia="仿宋"/>
          <w:color w:val="000000"/>
          <w:sz w:val="32"/>
          <w:szCs w:val="24"/>
          <w:highlight w:val="white"/>
          <w:lang w:val="en-US" w:eastAsia="zh-CN"/>
        </w:rPr>
        <w:t>7379.50</w:t>
      </w:r>
      <w:r>
        <w:rPr>
          <w:rFonts w:hint="eastAsia" w:ascii="仿宋" w:hAnsi="仿宋" w:eastAsia="仿宋"/>
          <w:color w:val="000000"/>
          <w:sz w:val="32"/>
          <w:szCs w:val="24"/>
          <w:highlight w:val="white"/>
          <w:lang w:val="en-US"/>
        </w:rPr>
        <w:t>万元，支出总计</w:t>
      </w:r>
      <w:r>
        <w:rPr>
          <w:rFonts w:hint="eastAsia" w:ascii="仿宋" w:hAnsi="仿宋" w:eastAsia="仿宋"/>
          <w:color w:val="000000"/>
          <w:sz w:val="32"/>
          <w:szCs w:val="24"/>
          <w:highlight w:val="white"/>
          <w:lang w:val="en-US" w:eastAsia="zh-CN"/>
        </w:rPr>
        <w:t>7379.50</w:t>
      </w:r>
      <w:r>
        <w:rPr>
          <w:rFonts w:hint="eastAsia" w:ascii="仿宋" w:hAnsi="仿宋" w:eastAsia="仿宋"/>
          <w:color w:val="000000"/>
          <w:sz w:val="32"/>
          <w:szCs w:val="24"/>
          <w:highlight w:val="white"/>
          <w:lang w:val="en-US"/>
        </w:rPr>
        <w:t>万元,与20</w:t>
      </w:r>
      <w:r>
        <w:rPr>
          <w:rFonts w:hint="eastAsia" w:ascii="仿宋" w:hAnsi="仿宋" w:eastAsia="仿宋"/>
          <w:color w:val="000000"/>
          <w:sz w:val="32"/>
          <w:szCs w:val="24"/>
          <w:highlight w:val="white"/>
          <w:lang w:val="en-US" w:eastAsia="zh-CN"/>
        </w:rPr>
        <w:t>20</w:t>
      </w:r>
      <w:r>
        <w:rPr>
          <w:rFonts w:hint="eastAsia" w:ascii="仿宋" w:hAnsi="仿宋" w:eastAsia="仿宋"/>
          <w:color w:val="000000"/>
          <w:sz w:val="32"/>
          <w:szCs w:val="24"/>
          <w:highlight w:val="white"/>
          <w:lang w:val="en-US"/>
        </w:rPr>
        <w:t>年度相比，</w:t>
      </w:r>
      <w:r>
        <w:rPr>
          <w:rFonts w:hint="eastAsia" w:ascii="仿宋" w:hAnsi="仿宋" w:eastAsia="仿宋"/>
          <w:color w:val="000000"/>
          <w:sz w:val="32"/>
          <w:szCs w:val="24"/>
          <w:highlight w:val="white"/>
          <w:lang w:val="en-US" w:eastAsia="zh-CN"/>
        </w:rPr>
        <w:t>增加402.75</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，增长5.72</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将2020年结转资金的使用较多。</w:t>
      </w:r>
    </w:p>
    <w:p>
      <w:pPr>
        <w:pStyle w:val="3"/>
        <w:spacing w:line="560" w:lineRule="exact"/>
        <w:rPr>
          <w:rFonts w:hint="default"/>
          <w:sz w:val="32"/>
          <w:szCs w:val="24"/>
          <w:lang w:val="en-US"/>
        </w:rPr>
      </w:pPr>
      <w:bookmarkStart w:id="4" w:name="_Toc2225"/>
      <w:r>
        <w:rPr>
          <w:rFonts w:hint="eastAsia"/>
          <w:sz w:val="32"/>
          <w:szCs w:val="24"/>
          <w:lang w:val="en-US"/>
        </w:rPr>
        <w:t>（二）收入决算情况说明</w:t>
      </w:r>
      <w:bookmarkEnd w:id="4"/>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本年收入合计</w:t>
      </w:r>
      <w:r>
        <w:rPr>
          <w:rFonts w:hint="eastAsia" w:ascii="仿宋" w:hAnsi="仿宋" w:eastAsia="仿宋"/>
          <w:color w:val="000000"/>
          <w:sz w:val="32"/>
          <w:szCs w:val="24"/>
          <w:highlight w:val="white"/>
          <w:lang w:val="en-US" w:eastAsia="zh-CN"/>
        </w:rPr>
        <w:t>4068.84</w:t>
      </w:r>
      <w:r>
        <w:rPr>
          <w:rFonts w:hint="eastAsia" w:ascii="仿宋" w:hAnsi="仿宋" w:eastAsia="仿宋"/>
          <w:color w:val="000000"/>
          <w:sz w:val="32"/>
          <w:szCs w:val="24"/>
          <w:highlight w:val="white"/>
          <w:lang w:val="en-US"/>
        </w:rPr>
        <w:t>万元；包括财政拨款收入</w:t>
      </w:r>
      <w:r>
        <w:rPr>
          <w:rFonts w:hint="eastAsia" w:ascii="仿宋" w:hAnsi="仿宋" w:eastAsia="仿宋"/>
          <w:color w:val="000000"/>
          <w:sz w:val="32"/>
          <w:szCs w:val="24"/>
          <w:highlight w:val="white"/>
          <w:lang w:val="en-US" w:eastAsia="zh-CN"/>
        </w:rPr>
        <w:t>3631.76</w:t>
      </w:r>
      <w:r>
        <w:rPr>
          <w:rFonts w:hint="eastAsia" w:ascii="仿宋" w:hAnsi="仿宋" w:eastAsia="仿宋"/>
          <w:color w:val="000000"/>
          <w:sz w:val="32"/>
          <w:szCs w:val="24"/>
          <w:highlight w:val="white"/>
          <w:lang w:val="en-US"/>
        </w:rPr>
        <w:t>万元（其中，一般公共预算</w:t>
      </w:r>
      <w:r>
        <w:rPr>
          <w:rFonts w:hint="eastAsia" w:ascii="仿宋" w:hAnsi="仿宋" w:eastAsia="仿宋"/>
          <w:color w:val="000000"/>
          <w:sz w:val="32"/>
          <w:szCs w:val="24"/>
          <w:highlight w:val="white"/>
          <w:lang w:val="en-US" w:eastAsia="zh-CN"/>
        </w:rPr>
        <w:t>3012.53</w:t>
      </w:r>
      <w:r>
        <w:rPr>
          <w:rFonts w:hint="eastAsia" w:ascii="仿宋" w:hAnsi="仿宋" w:eastAsia="仿宋"/>
          <w:color w:val="000000"/>
          <w:sz w:val="32"/>
          <w:szCs w:val="24"/>
          <w:highlight w:val="white"/>
          <w:lang w:val="en-US"/>
        </w:rPr>
        <w:t>万元，政府性基金预算</w:t>
      </w:r>
      <w:r>
        <w:rPr>
          <w:rFonts w:hint="eastAsia" w:ascii="仿宋" w:hAnsi="仿宋" w:eastAsia="仿宋"/>
          <w:color w:val="000000"/>
          <w:sz w:val="32"/>
          <w:szCs w:val="24"/>
          <w:highlight w:val="white"/>
          <w:lang w:val="en-US" w:eastAsia="zh-CN"/>
        </w:rPr>
        <w:t>619.23</w:t>
      </w:r>
      <w:r>
        <w:rPr>
          <w:rFonts w:hint="eastAsia" w:ascii="仿宋" w:hAnsi="仿宋" w:eastAsia="仿宋"/>
          <w:color w:val="000000"/>
          <w:sz w:val="32"/>
          <w:szCs w:val="24"/>
          <w:highlight w:val="white"/>
          <w:lang w:val="en-US"/>
        </w:rPr>
        <w:t>万元,国有资本经营预算</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万元），占收入合计</w:t>
      </w:r>
      <w:r>
        <w:rPr>
          <w:rFonts w:hint="eastAsia" w:ascii="仿宋" w:hAnsi="仿宋" w:eastAsia="仿宋"/>
          <w:color w:val="000000"/>
          <w:sz w:val="32"/>
          <w:szCs w:val="24"/>
          <w:highlight w:val="white"/>
          <w:lang w:val="en-US" w:eastAsia="zh-CN"/>
        </w:rPr>
        <w:t>89.26</w:t>
      </w:r>
      <w:r>
        <w:rPr>
          <w:rFonts w:hint="eastAsia" w:ascii="仿宋" w:hAnsi="仿宋" w:eastAsia="仿宋"/>
          <w:color w:val="000000"/>
          <w:sz w:val="32"/>
          <w:szCs w:val="24"/>
          <w:highlight w:val="white"/>
          <w:lang w:val="en-US"/>
        </w:rPr>
        <w:t>%；上级补助收入</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万元，占收入合计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%；事业收入</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万元，占收入合计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%；经营收入</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万元，占收入合计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%；附属单位上缴收入</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万元，占收入合计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%；其他收入</w:t>
      </w:r>
      <w:r>
        <w:rPr>
          <w:rFonts w:hint="eastAsia" w:ascii="仿宋" w:hAnsi="仿宋" w:eastAsia="仿宋"/>
          <w:color w:val="000000"/>
          <w:sz w:val="32"/>
          <w:szCs w:val="24"/>
          <w:highlight w:val="white"/>
          <w:lang w:val="en-US" w:eastAsia="zh-CN"/>
        </w:rPr>
        <w:t>437.08</w:t>
      </w:r>
      <w:r>
        <w:rPr>
          <w:rFonts w:hint="eastAsia" w:ascii="仿宋" w:hAnsi="仿宋" w:eastAsia="仿宋"/>
          <w:color w:val="000000"/>
          <w:sz w:val="32"/>
          <w:szCs w:val="24"/>
          <w:highlight w:val="white"/>
          <w:lang w:val="en-US"/>
        </w:rPr>
        <w:t>万元，占收入合计</w:t>
      </w:r>
      <w:r>
        <w:rPr>
          <w:rFonts w:hint="eastAsia" w:ascii="仿宋" w:hAnsi="仿宋" w:eastAsia="仿宋"/>
          <w:color w:val="000000"/>
          <w:sz w:val="32"/>
          <w:szCs w:val="24"/>
          <w:highlight w:val="white"/>
          <w:lang w:val="en-US" w:eastAsia="zh-CN"/>
        </w:rPr>
        <w:t>10.74</w:t>
      </w:r>
      <w:r>
        <w:rPr>
          <w:rFonts w:hint="eastAsia" w:ascii="仿宋" w:hAnsi="仿宋" w:eastAsia="仿宋"/>
          <w:color w:val="000000"/>
          <w:sz w:val="32"/>
          <w:szCs w:val="24"/>
          <w:highlight w:val="white"/>
          <w:lang w:val="en-US"/>
        </w:rPr>
        <w:t>%。</w:t>
      </w:r>
    </w:p>
    <w:p>
      <w:pPr>
        <w:pStyle w:val="3"/>
        <w:spacing w:line="560" w:lineRule="exact"/>
        <w:rPr>
          <w:rFonts w:hint="default"/>
          <w:sz w:val="32"/>
          <w:szCs w:val="24"/>
          <w:lang w:val="en-US"/>
        </w:rPr>
      </w:pPr>
      <w:bookmarkStart w:id="5" w:name="_Toc10270"/>
      <w:r>
        <w:rPr>
          <w:rFonts w:hint="eastAsia"/>
          <w:sz w:val="32"/>
          <w:szCs w:val="24"/>
          <w:lang w:val="en-US"/>
        </w:rPr>
        <w:t>（三）支出决算情况说明</w:t>
      </w:r>
      <w:bookmarkEnd w:id="5"/>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本年支出合计</w:t>
      </w:r>
      <w:r>
        <w:rPr>
          <w:rFonts w:hint="eastAsia" w:ascii="仿宋" w:hAnsi="仿宋" w:eastAsia="仿宋"/>
          <w:color w:val="000000"/>
          <w:sz w:val="32"/>
          <w:szCs w:val="24"/>
          <w:highlight w:val="white"/>
          <w:lang w:val="en-US" w:eastAsia="zh-CN"/>
        </w:rPr>
        <w:t>4935.09</w:t>
      </w:r>
      <w:r>
        <w:rPr>
          <w:rFonts w:hint="eastAsia" w:ascii="仿宋" w:hAnsi="仿宋" w:eastAsia="仿宋"/>
          <w:color w:val="000000"/>
          <w:sz w:val="32"/>
          <w:szCs w:val="24"/>
          <w:highlight w:val="white"/>
          <w:lang w:val="en-US"/>
        </w:rPr>
        <w:t>万元，其中基本支出</w:t>
      </w:r>
      <w:r>
        <w:rPr>
          <w:rFonts w:hint="eastAsia" w:ascii="仿宋" w:hAnsi="仿宋" w:eastAsia="仿宋"/>
          <w:color w:val="000000"/>
          <w:sz w:val="32"/>
          <w:szCs w:val="24"/>
          <w:highlight w:val="white"/>
          <w:lang w:val="en-US" w:eastAsia="zh-CN"/>
        </w:rPr>
        <w:t>1413.24</w:t>
      </w:r>
      <w:r>
        <w:rPr>
          <w:rFonts w:hint="eastAsia" w:ascii="仿宋" w:hAnsi="仿宋" w:eastAsia="仿宋"/>
          <w:color w:val="000000"/>
          <w:sz w:val="32"/>
          <w:szCs w:val="24"/>
          <w:highlight w:val="white"/>
          <w:lang w:val="en-US"/>
        </w:rPr>
        <w:t>元，占</w:t>
      </w:r>
      <w:r>
        <w:rPr>
          <w:rFonts w:hint="eastAsia" w:ascii="仿宋" w:hAnsi="仿宋" w:eastAsia="仿宋"/>
          <w:color w:val="000000"/>
          <w:sz w:val="32"/>
          <w:szCs w:val="24"/>
          <w:highlight w:val="white"/>
          <w:lang w:val="en-US" w:eastAsia="zh-CN"/>
        </w:rPr>
        <w:t>28.64</w:t>
      </w:r>
      <w:r>
        <w:rPr>
          <w:rFonts w:hint="eastAsia" w:ascii="仿宋" w:hAnsi="仿宋" w:eastAsia="仿宋"/>
          <w:color w:val="000000"/>
          <w:sz w:val="32"/>
          <w:szCs w:val="24"/>
          <w:highlight w:val="white"/>
          <w:lang w:val="en-US"/>
        </w:rPr>
        <w:t>%；项目支出</w:t>
      </w:r>
      <w:r>
        <w:rPr>
          <w:rFonts w:hint="eastAsia" w:ascii="仿宋" w:hAnsi="仿宋" w:eastAsia="仿宋"/>
          <w:color w:val="000000"/>
          <w:sz w:val="32"/>
          <w:szCs w:val="24"/>
          <w:highlight w:val="white"/>
          <w:lang w:val="en-US" w:eastAsia="zh-CN"/>
        </w:rPr>
        <w:t>3521.84</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71.36</w:t>
      </w:r>
      <w:r>
        <w:rPr>
          <w:rFonts w:hint="eastAsia" w:ascii="仿宋" w:hAnsi="仿宋" w:eastAsia="仿宋"/>
          <w:color w:val="000000"/>
          <w:sz w:val="32"/>
          <w:szCs w:val="24"/>
          <w:highlight w:val="white"/>
          <w:lang w:val="en-US"/>
        </w:rPr>
        <w:t>%；上缴上级支出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%；经营支出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%；对附属单位补助支出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w:t>
      </w:r>
    </w:p>
    <w:p>
      <w:pPr>
        <w:pStyle w:val="3"/>
        <w:spacing w:line="560" w:lineRule="exact"/>
        <w:rPr>
          <w:rFonts w:hint="eastAsia"/>
          <w:sz w:val="32"/>
          <w:szCs w:val="24"/>
          <w:lang w:val="en-US"/>
        </w:rPr>
      </w:pPr>
      <w:bookmarkStart w:id="6" w:name="_Toc20212"/>
      <w:r>
        <w:rPr>
          <w:rFonts w:hint="eastAsia"/>
          <w:sz w:val="32"/>
          <w:szCs w:val="24"/>
          <w:lang w:val="en-US"/>
        </w:rPr>
        <w:t>（四）财政拨款收入支出决算总体情况说明</w:t>
      </w:r>
      <w:bookmarkEnd w:id="6"/>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2021年度财政拨款收入总计</w:t>
      </w:r>
      <w:r>
        <w:rPr>
          <w:rFonts w:hint="eastAsia" w:ascii="仿宋" w:hAnsi="仿宋" w:eastAsia="仿宋"/>
          <w:color w:val="000000"/>
          <w:sz w:val="32"/>
          <w:szCs w:val="24"/>
          <w:highlight w:val="white"/>
          <w:lang w:val="en-US" w:eastAsia="zh-CN"/>
        </w:rPr>
        <w:t>3631.76</w:t>
      </w:r>
      <w:r>
        <w:rPr>
          <w:rFonts w:hint="eastAsia" w:ascii="仿宋" w:hAnsi="仿宋" w:eastAsia="仿宋"/>
          <w:color w:val="000000"/>
          <w:sz w:val="32"/>
          <w:szCs w:val="24"/>
          <w:highlight w:val="white"/>
          <w:lang w:val="en-US"/>
        </w:rPr>
        <w:t>万元，与2020年相比</w:t>
      </w:r>
      <w:r>
        <w:rPr>
          <w:rFonts w:hint="eastAsia" w:ascii="仿宋" w:hAnsi="仿宋" w:eastAsia="仿宋"/>
          <w:color w:val="000000"/>
          <w:sz w:val="32"/>
          <w:szCs w:val="24"/>
          <w:highlight w:val="white"/>
          <w:lang w:val="en-US" w:eastAsia="zh-CN"/>
        </w:rPr>
        <w:t>，增加719.97万元，增长24.73%，增长的主要原因是备战省十七届运动会、文化活动方面经费增加；</w:t>
      </w:r>
      <w:r>
        <w:rPr>
          <w:rFonts w:hint="eastAsia" w:ascii="仿宋" w:hAnsi="仿宋" w:eastAsia="仿宋"/>
          <w:color w:val="000000"/>
          <w:sz w:val="32"/>
          <w:szCs w:val="24"/>
          <w:highlight w:val="white"/>
          <w:lang w:val="en-US"/>
        </w:rPr>
        <w:t>支出总计</w:t>
      </w:r>
      <w:r>
        <w:rPr>
          <w:rFonts w:hint="eastAsia" w:ascii="仿宋" w:hAnsi="仿宋" w:eastAsia="仿宋"/>
          <w:color w:val="000000"/>
          <w:sz w:val="32"/>
          <w:szCs w:val="24"/>
          <w:highlight w:val="white"/>
          <w:lang w:val="en-US" w:eastAsia="zh-CN"/>
        </w:rPr>
        <w:t>4498.00</w:t>
      </w:r>
      <w:r>
        <w:rPr>
          <w:rFonts w:hint="eastAsia" w:ascii="仿宋" w:hAnsi="仿宋" w:eastAsia="仿宋"/>
          <w:color w:val="000000"/>
          <w:sz w:val="32"/>
          <w:szCs w:val="24"/>
          <w:highlight w:val="white"/>
          <w:lang w:val="en-US"/>
        </w:rPr>
        <w:t>万元，与2020年相比，</w:t>
      </w:r>
      <w:r>
        <w:rPr>
          <w:rFonts w:hint="eastAsia" w:ascii="仿宋" w:hAnsi="仿宋" w:eastAsia="仿宋"/>
          <w:color w:val="000000"/>
          <w:sz w:val="32"/>
          <w:szCs w:val="24"/>
          <w:highlight w:val="white"/>
          <w:lang w:val="en-US" w:eastAsia="zh-CN"/>
        </w:rPr>
        <w:t>增加831.9</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增长22.69</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，增长的主要原因是备战省十七届运动会、文化活动、省级历年文物保护方面经费的支出。</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财政拨款支出年初预算数</w:t>
      </w:r>
      <w:r>
        <w:rPr>
          <w:rFonts w:hint="eastAsia" w:ascii="仿宋" w:hAnsi="仿宋" w:eastAsia="仿宋"/>
          <w:color w:val="000000"/>
          <w:sz w:val="32"/>
          <w:szCs w:val="24"/>
          <w:highlight w:val="white"/>
          <w:lang w:val="en-US" w:eastAsia="zh-CN"/>
        </w:rPr>
        <w:t>2555.49</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176.01</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主要原因是</w:t>
      </w:r>
      <w:r>
        <w:rPr>
          <w:rFonts w:hint="eastAsia" w:ascii="仿宋" w:hAnsi="仿宋" w:eastAsia="仿宋"/>
          <w:color w:val="auto"/>
          <w:sz w:val="32"/>
          <w:szCs w:val="24"/>
          <w:highlight w:val="white"/>
          <w:lang w:val="en-US" w:eastAsia="zh-CN"/>
        </w:rPr>
        <w:t>省级文物保护资金历年结转资金的使用</w:t>
      </w:r>
      <w:r>
        <w:rPr>
          <w:rFonts w:hint="eastAsia" w:ascii="仿宋" w:hAnsi="仿宋" w:eastAsia="仿宋"/>
          <w:color w:val="auto"/>
          <w:sz w:val="32"/>
          <w:szCs w:val="24"/>
          <w:highlight w:val="white"/>
          <w:lang w:val="en-US"/>
        </w:rPr>
        <w:t>。</w:t>
      </w:r>
    </w:p>
    <w:p>
      <w:pPr>
        <w:pStyle w:val="3"/>
        <w:spacing w:line="560" w:lineRule="exact"/>
        <w:rPr>
          <w:rFonts w:hint="default"/>
          <w:sz w:val="32"/>
          <w:szCs w:val="24"/>
          <w:lang w:val="en-US"/>
        </w:rPr>
      </w:pPr>
      <w:bookmarkStart w:id="7" w:name="_Toc31184"/>
      <w:r>
        <w:rPr>
          <w:rFonts w:hint="eastAsia"/>
          <w:sz w:val="32"/>
          <w:szCs w:val="24"/>
          <w:lang w:val="en-US"/>
        </w:rPr>
        <w:t>（五）一般公共预算财政拨款支出决算情况说明</w:t>
      </w:r>
      <w:bookmarkEnd w:id="7"/>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1.一般公共预算财政拨款支出决算总体情况。</w:t>
      </w:r>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2021年度一般公共预算财政拨款支出</w:t>
      </w:r>
      <w:r>
        <w:rPr>
          <w:rFonts w:hint="eastAsia" w:ascii="仿宋" w:hAnsi="仿宋" w:eastAsia="仿宋"/>
          <w:color w:val="000000"/>
          <w:sz w:val="32"/>
          <w:szCs w:val="24"/>
          <w:highlight w:val="white"/>
          <w:lang w:val="en-US" w:eastAsia="zh-CN"/>
        </w:rPr>
        <w:t>3878.77</w:t>
      </w:r>
      <w:r>
        <w:rPr>
          <w:rFonts w:hint="eastAsia" w:ascii="仿宋" w:hAnsi="仿宋" w:eastAsia="仿宋"/>
          <w:color w:val="000000"/>
          <w:sz w:val="32"/>
          <w:szCs w:val="24"/>
          <w:highlight w:val="white"/>
          <w:lang w:val="en-US"/>
        </w:rPr>
        <w:t>万元，占本年支出合计的</w:t>
      </w:r>
      <w:r>
        <w:rPr>
          <w:rFonts w:hint="eastAsia" w:ascii="仿宋" w:hAnsi="仿宋" w:eastAsia="仿宋"/>
          <w:color w:val="000000"/>
          <w:sz w:val="32"/>
          <w:szCs w:val="24"/>
          <w:highlight w:val="white"/>
          <w:lang w:val="en-US" w:eastAsia="zh-CN"/>
        </w:rPr>
        <w:t>78.59</w:t>
      </w:r>
      <w:r>
        <w:rPr>
          <w:rFonts w:hint="eastAsia" w:ascii="仿宋" w:hAnsi="仿宋" w:eastAsia="仿宋"/>
          <w:color w:val="000000"/>
          <w:sz w:val="32"/>
          <w:szCs w:val="24"/>
          <w:highlight w:val="white"/>
          <w:lang w:val="en-US"/>
        </w:rPr>
        <w:t>%。与2020年相比，一般公共预算财政拨款支出增加</w:t>
      </w:r>
      <w:r>
        <w:rPr>
          <w:rFonts w:hint="eastAsia" w:ascii="仿宋" w:hAnsi="仿宋" w:eastAsia="仿宋"/>
          <w:color w:val="000000"/>
          <w:sz w:val="32"/>
          <w:szCs w:val="24"/>
          <w:highlight w:val="white"/>
          <w:lang w:val="en-US" w:eastAsia="zh-CN"/>
        </w:rPr>
        <w:t>578.93</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17.54</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支出金额中有上年结转</w:t>
      </w:r>
      <w:r>
        <w:rPr>
          <w:rFonts w:hint="eastAsia" w:ascii="仿宋" w:hAnsi="仿宋" w:eastAsia="仿宋"/>
          <w:color w:val="000000"/>
          <w:sz w:val="32"/>
          <w:szCs w:val="24"/>
          <w:highlight w:val="white"/>
          <w:lang w:val="en-US"/>
        </w:rPr>
        <w:t>。</w:t>
      </w:r>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2.一般公共预算财政拨款支出决算结构情况。</w:t>
      </w:r>
    </w:p>
    <w:p>
      <w:pPr>
        <w:spacing w:line="560" w:lineRule="exact"/>
        <w:ind w:firstLine="606"/>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2021年度一般公共预算财政拨款支出</w:t>
      </w:r>
      <w:r>
        <w:rPr>
          <w:rFonts w:hint="eastAsia" w:ascii="仿宋" w:hAnsi="仿宋" w:eastAsia="仿宋"/>
          <w:color w:val="000000"/>
          <w:sz w:val="32"/>
          <w:szCs w:val="24"/>
          <w:highlight w:val="white"/>
          <w:lang w:val="en-US" w:eastAsia="zh-CN"/>
        </w:rPr>
        <w:t>3878.77</w:t>
      </w:r>
      <w:r>
        <w:rPr>
          <w:rFonts w:hint="eastAsia" w:ascii="仿宋" w:hAnsi="仿宋" w:eastAsia="仿宋"/>
          <w:color w:val="000000"/>
          <w:sz w:val="32"/>
          <w:szCs w:val="24"/>
          <w:highlight w:val="white"/>
          <w:lang w:val="en-US"/>
        </w:rPr>
        <w:t>万元，主要用于以下方面：一般公共服务（类）支出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%；国防（类）支出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%；公共安全（类）支出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%；教育（类）支出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%；科学技术（类）支出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%；文化旅游体育与传媒（类）支出</w:t>
      </w:r>
      <w:r>
        <w:rPr>
          <w:rFonts w:hint="eastAsia" w:ascii="仿宋" w:hAnsi="仿宋" w:eastAsia="仿宋"/>
          <w:color w:val="000000"/>
          <w:sz w:val="32"/>
          <w:szCs w:val="24"/>
          <w:highlight w:val="white"/>
          <w:lang w:val="en-US" w:eastAsia="zh-CN"/>
        </w:rPr>
        <w:t>3470.57</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89.48</w:t>
      </w:r>
      <w:r>
        <w:rPr>
          <w:rFonts w:hint="eastAsia" w:ascii="仿宋" w:hAnsi="仿宋" w:eastAsia="仿宋"/>
          <w:color w:val="000000"/>
          <w:sz w:val="32"/>
          <w:szCs w:val="24"/>
          <w:highlight w:val="white"/>
          <w:lang w:val="en-US"/>
        </w:rPr>
        <w:t>%；社会保障和就业（类）支出</w:t>
      </w:r>
      <w:r>
        <w:rPr>
          <w:rFonts w:hint="eastAsia" w:ascii="仿宋" w:hAnsi="仿宋" w:eastAsia="仿宋"/>
          <w:color w:val="000000"/>
          <w:sz w:val="32"/>
          <w:szCs w:val="24"/>
          <w:highlight w:val="white"/>
          <w:lang w:val="en-US" w:eastAsia="zh-CN"/>
        </w:rPr>
        <w:t>104.77</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2.70</w:t>
      </w:r>
      <w:r>
        <w:rPr>
          <w:rFonts w:hint="eastAsia" w:ascii="仿宋" w:hAnsi="仿宋" w:eastAsia="仿宋"/>
          <w:color w:val="000000"/>
          <w:sz w:val="32"/>
          <w:szCs w:val="24"/>
          <w:highlight w:val="white"/>
          <w:lang w:val="en-US"/>
        </w:rPr>
        <w:t>%；卫生健康（类）支出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%；节能环保（类）支出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00</w:t>
      </w:r>
      <w:r>
        <w:rPr>
          <w:rFonts w:hint="eastAsia" w:ascii="仿宋" w:hAnsi="仿宋" w:eastAsia="仿宋"/>
          <w:color w:val="000000"/>
          <w:sz w:val="32"/>
          <w:szCs w:val="24"/>
          <w:highlight w:val="white"/>
          <w:lang w:val="en-US"/>
        </w:rPr>
        <w:t>%；城乡社区（类）支出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%；农林水（类）支出</w:t>
      </w:r>
      <w:r>
        <w:rPr>
          <w:rFonts w:hint="eastAsia" w:ascii="仿宋" w:hAnsi="仿宋" w:eastAsia="仿宋"/>
          <w:color w:val="000000"/>
          <w:sz w:val="32"/>
          <w:szCs w:val="24"/>
          <w:highlight w:val="white"/>
          <w:lang w:val="en-US" w:eastAsia="zh-CN"/>
        </w:rPr>
        <w:t>200.00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5.15</w:t>
      </w:r>
      <w:r>
        <w:rPr>
          <w:rFonts w:hint="eastAsia" w:ascii="仿宋" w:hAnsi="仿宋" w:eastAsia="仿宋"/>
          <w:color w:val="000000"/>
          <w:sz w:val="32"/>
          <w:szCs w:val="24"/>
          <w:highlight w:val="white"/>
          <w:lang w:val="en-US"/>
        </w:rPr>
        <w:t>%；交通运输（类）支出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%；资源勘探工业信息等（类）支出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%；商业服务业等（类）支出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%；金融（类）支出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%；援助其他地区（类）支出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%；自然资源海洋气象等（类）支出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%；住房保障（类）支出</w:t>
      </w:r>
      <w:r>
        <w:rPr>
          <w:rFonts w:hint="eastAsia" w:ascii="仿宋" w:hAnsi="仿宋" w:eastAsia="仿宋"/>
          <w:color w:val="000000"/>
          <w:sz w:val="32"/>
          <w:szCs w:val="24"/>
          <w:highlight w:val="white"/>
          <w:lang w:val="en-US" w:eastAsia="zh-CN"/>
        </w:rPr>
        <w:t>103.43</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2.67</w:t>
      </w:r>
      <w:r>
        <w:rPr>
          <w:rFonts w:hint="eastAsia" w:ascii="仿宋" w:hAnsi="仿宋" w:eastAsia="仿宋"/>
          <w:color w:val="000000"/>
          <w:sz w:val="32"/>
          <w:szCs w:val="24"/>
          <w:highlight w:val="white"/>
          <w:lang w:val="en-US"/>
        </w:rPr>
        <w:t>%；粮油物资储备（类）支出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%；灾害防治及应急管理（类）支出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%；其他（类）支出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%；债务还本（类）支出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%；债务付息（类）支出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w:t>
      </w:r>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3.一般公共预算财政拨款支出决算具体情况。</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auto"/>
          <w:sz w:val="32"/>
          <w:szCs w:val="24"/>
          <w:highlight w:val="white"/>
          <w:lang w:val="en-US"/>
        </w:rPr>
        <w:t>2021年度</w:t>
      </w:r>
      <w:r>
        <w:rPr>
          <w:rFonts w:hint="eastAsia" w:ascii="仿宋" w:hAnsi="仿宋" w:eastAsia="仿宋"/>
          <w:color w:val="000000"/>
          <w:sz w:val="32"/>
          <w:szCs w:val="24"/>
          <w:highlight w:val="white"/>
          <w:lang w:val="en-US"/>
        </w:rPr>
        <w:t>一般公共预算</w:t>
      </w:r>
      <w:r>
        <w:rPr>
          <w:rFonts w:hint="eastAsia" w:ascii="仿宋" w:hAnsi="仿宋" w:eastAsia="仿宋"/>
          <w:color w:val="auto"/>
          <w:sz w:val="32"/>
          <w:szCs w:val="24"/>
          <w:highlight w:val="white"/>
          <w:lang w:val="en-US"/>
        </w:rPr>
        <w:t>财政拨款支出年初预算为</w:t>
      </w:r>
      <w:r>
        <w:rPr>
          <w:rFonts w:hint="eastAsia" w:ascii="仿宋" w:hAnsi="仿宋" w:eastAsia="仿宋"/>
          <w:color w:val="000000"/>
          <w:sz w:val="32"/>
          <w:szCs w:val="24"/>
          <w:highlight w:val="white"/>
          <w:lang w:val="en-US" w:eastAsia="zh-CN"/>
        </w:rPr>
        <w:t>2004.49</w:t>
      </w:r>
      <w:r>
        <w:rPr>
          <w:rFonts w:hint="eastAsia" w:ascii="仿宋" w:hAnsi="仿宋" w:eastAsia="仿宋"/>
          <w:color w:val="auto"/>
          <w:sz w:val="32"/>
          <w:szCs w:val="24"/>
          <w:highlight w:val="white"/>
          <w:lang w:val="en-US"/>
        </w:rPr>
        <w:t>万元，支出决算为</w:t>
      </w:r>
      <w:r>
        <w:rPr>
          <w:rFonts w:hint="eastAsia" w:ascii="仿宋" w:hAnsi="仿宋" w:eastAsia="仿宋"/>
          <w:color w:val="000000"/>
          <w:sz w:val="32"/>
          <w:szCs w:val="24"/>
          <w:highlight w:val="white"/>
          <w:lang w:val="en-US" w:eastAsia="zh-CN"/>
        </w:rPr>
        <w:t>3878.77</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193.50</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，主要原因</w:t>
      </w:r>
      <w:r>
        <w:rPr>
          <w:rFonts w:hint="eastAsia" w:ascii="仿宋" w:hAnsi="仿宋" w:eastAsia="仿宋"/>
          <w:color w:val="auto"/>
          <w:sz w:val="32"/>
          <w:szCs w:val="24"/>
          <w:highlight w:val="white"/>
          <w:lang w:val="en-US" w:eastAsia="zh-CN"/>
        </w:rPr>
        <w:t>一是支出中有上年度结转，二是当年有预算追加</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其中：</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行政运行</w:t>
      </w:r>
      <w:r>
        <w:rPr>
          <w:rFonts w:hint="eastAsia" w:ascii="仿宋" w:hAnsi="仿宋" w:eastAsia="仿宋"/>
          <w:color w:val="000000"/>
          <w:sz w:val="32"/>
          <w:szCs w:val="24"/>
          <w:highlight w:val="white"/>
          <w:lang w:val="en-US"/>
        </w:rPr>
        <w:t>（项）。年初预算为</w:t>
      </w:r>
      <w:r>
        <w:rPr>
          <w:rFonts w:hint="eastAsia" w:ascii="仿宋" w:hAnsi="仿宋" w:eastAsia="仿宋"/>
          <w:color w:val="000000"/>
          <w:sz w:val="32"/>
          <w:szCs w:val="24"/>
          <w:highlight w:val="white"/>
          <w:lang w:val="en-US" w:eastAsia="zh-CN"/>
        </w:rPr>
        <w:t>1138.34</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1205.04</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105.86</w:t>
      </w:r>
      <w:r>
        <w:rPr>
          <w:rFonts w:hint="eastAsia" w:ascii="仿宋" w:hAnsi="仿宋" w:eastAsia="仿宋"/>
          <w:color w:val="000000"/>
          <w:sz w:val="32"/>
          <w:szCs w:val="24"/>
          <w:highlight w:val="white"/>
          <w:lang w:val="en-US"/>
        </w:rPr>
        <w:t>%，决算数大于预算数的主要原因</w:t>
      </w:r>
      <w:r>
        <w:rPr>
          <w:rFonts w:hint="eastAsia" w:ascii="仿宋" w:hAnsi="仿宋" w:eastAsia="仿宋"/>
          <w:color w:val="000000"/>
          <w:sz w:val="32"/>
          <w:szCs w:val="24"/>
          <w:highlight w:val="white"/>
          <w:lang w:val="en-US" w:eastAsia="zh-CN"/>
        </w:rPr>
        <w:t xml:space="preserve">是事业人员薪级工资调整及公务员考核晋升后工资调整 </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eastAsia="zh-CN"/>
        </w:rPr>
        <w:t>文化旅游体育与传媒支出</w:t>
      </w:r>
      <w:r>
        <w:rPr>
          <w:rFonts w:hint="eastAsia" w:ascii="仿宋" w:hAnsi="仿宋" w:eastAsia="仿宋"/>
          <w:color w:val="auto"/>
          <w:sz w:val="32"/>
          <w:szCs w:val="24"/>
          <w:highlight w:val="white"/>
          <w:lang w:val="en-US"/>
        </w:rPr>
        <w:t>（类）</w:t>
      </w:r>
      <w:r>
        <w:rPr>
          <w:rFonts w:hint="eastAsia" w:ascii="仿宋" w:hAnsi="仿宋" w:eastAsia="仿宋"/>
          <w:color w:val="auto"/>
          <w:sz w:val="32"/>
          <w:szCs w:val="24"/>
          <w:highlight w:val="white"/>
          <w:lang w:val="en-US" w:eastAsia="zh-CN"/>
        </w:rPr>
        <w:t>文化和旅游</w:t>
      </w:r>
      <w:r>
        <w:rPr>
          <w:rFonts w:hint="eastAsia" w:ascii="仿宋" w:hAnsi="仿宋" w:eastAsia="仿宋"/>
          <w:color w:val="auto"/>
          <w:sz w:val="32"/>
          <w:szCs w:val="24"/>
          <w:highlight w:val="white"/>
          <w:lang w:val="en-US"/>
        </w:rPr>
        <w:t>（款）</w:t>
      </w:r>
      <w:r>
        <w:rPr>
          <w:rFonts w:hint="eastAsia" w:ascii="仿宋" w:hAnsi="仿宋" w:eastAsia="仿宋"/>
          <w:color w:val="auto"/>
          <w:sz w:val="32"/>
          <w:szCs w:val="24"/>
          <w:highlight w:val="white"/>
          <w:lang w:val="en-US" w:eastAsia="zh-CN"/>
        </w:rPr>
        <w:t>旅游宣传</w:t>
      </w:r>
      <w:r>
        <w:rPr>
          <w:rFonts w:hint="eastAsia" w:ascii="仿宋" w:hAnsi="仿宋" w:eastAsia="仿宋"/>
          <w:color w:val="auto"/>
          <w:sz w:val="32"/>
          <w:szCs w:val="24"/>
          <w:highlight w:val="white"/>
          <w:lang w:val="en-US"/>
        </w:rPr>
        <w:t>（项）。年初预算为</w:t>
      </w:r>
      <w:r>
        <w:rPr>
          <w:rFonts w:hint="eastAsia" w:ascii="仿宋" w:hAnsi="仿宋" w:eastAsia="仿宋"/>
          <w:color w:val="auto"/>
          <w:sz w:val="32"/>
          <w:szCs w:val="24"/>
          <w:highlight w:val="white"/>
          <w:lang w:val="en-US" w:eastAsia="zh-CN"/>
        </w:rPr>
        <w:t>0</w:t>
      </w:r>
      <w:r>
        <w:rPr>
          <w:rFonts w:hint="eastAsia" w:ascii="仿宋" w:hAnsi="仿宋" w:eastAsia="仿宋"/>
          <w:color w:val="auto"/>
          <w:sz w:val="32"/>
          <w:szCs w:val="24"/>
          <w:highlight w:val="white"/>
          <w:lang w:val="en-US"/>
        </w:rPr>
        <w:t>万元，支出决算为</w:t>
      </w:r>
      <w:r>
        <w:rPr>
          <w:rFonts w:hint="eastAsia" w:ascii="仿宋" w:hAnsi="仿宋" w:eastAsia="仿宋"/>
          <w:color w:val="auto"/>
          <w:sz w:val="32"/>
          <w:szCs w:val="24"/>
          <w:highlight w:val="white"/>
          <w:lang w:val="en-US" w:eastAsia="zh-CN"/>
        </w:rPr>
        <w:t>76.56</w:t>
      </w:r>
      <w:r>
        <w:rPr>
          <w:rFonts w:hint="eastAsia" w:ascii="仿宋" w:hAnsi="仿宋" w:eastAsia="仿宋"/>
          <w:color w:val="auto"/>
          <w:sz w:val="32"/>
          <w:szCs w:val="24"/>
          <w:highlight w:val="white"/>
          <w:lang w:val="en-US"/>
        </w:rPr>
        <w:t>万元，决算数大于预算数的主要原因</w:t>
      </w:r>
      <w:r>
        <w:rPr>
          <w:rFonts w:hint="eastAsia" w:ascii="仿宋" w:hAnsi="仿宋" w:eastAsia="仿宋"/>
          <w:color w:val="auto"/>
          <w:sz w:val="32"/>
          <w:szCs w:val="24"/>
          <w:highlight w:val="white"/>
          <w:lang w:val="en-US" w:eastAsia="zh-CN"/>
        </w:rPr>
        <w:t>是旅游上年结转资金的支出</w:t>
      </w:r>
      <w:r>
        <w:rPr>
          <w:rFonts w:hint="eastAsia" w:ascii="仿宋" w:hAnsi="仿宋" w:eastAsia="仿宋"/>
          <w:color w:val="auto"/>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其他文化和旅游支出（项）。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71.49</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1666.78</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2331.49</w:t>
      </w:r>
      <w:r>
        <w:rPr>
          <w:rFonts w:hint="eastAsia" w:ascii="仿宋" w:hAnsi="仿宋" w:eastAsia="仿宋"/>
          <w:color w:val="000000"/>
          <w:sz w:val="32"/>
          <w:szCs w:val="24"/>
          <w:highlight w:val="white"/>
          <w:lang w:val="en-US"/>
        </w:rPr>
        <w:t>%，决算数大于预算数的主要原因</w:t>
      </w:r>
      <w:r>
        <w:rPr>
          <w:rFonts w:hint="eastAsia" w:ascii="仿宋" w:hAnsi="仿宋" w:eastAsia="仿宋"/>
          <w:color w:val="000000"/>
          <w:sz w:val="32"/>
          <w:szCs w:val="24"/>
          <w:highlight w:val="white"/>
          <w:lang w:val="en-US" w:eastAsia="zh-CN"/>
        </w:rPr>
        <w:t>一是上年结转资金的支出，二是旅游宣传经费为政策资金，为年度内使用时申请，不包括在年初预算内。</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文物</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文物保护（项）。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235.09</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235.09</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与</w:t>
      </w:r>
      <w:r>
        <w:rPr>
          <w:rFonts w:hint="eastAsia" w:ascii="仿宋" w:hAnsi="仿宋" w:eastAsia="仿宋"/>
          <w:color w:val="000000"/>
          <w:sz w:val="32"/>
          <w:szCs w:val="24"/>
          <w:highlight w:val="white"/>
          <w:lang w:val="en-US"/>
        </w:rPr>
        <w:t>预算数</w:t>
      </w:r>
      <w:r>
        <w:rPr>
          <w:rFonts w:hint="eastAsia" w:ascii="仿宋" w:hAnsi="仿宋" w:eastAsia="仿宋"/>
          <w:color w:val="000000"/>
          <w:sz w:val="32"/>
          <w:szCs w:val="24"/>
          <w:highlight w:val="white"/>
          <w:lang w:val="en-US" w:eastAsia="zh-CN"/>
        </w:rPr>
        <w:t>相同，不存在差异。</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体育（</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体育竞赛（项）。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115</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114.50</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99.56</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小</w:t>
      </w:r>
      <w:r>
        <w:rPr>
          <w:rFonts w:hint="eastAsia" w:ascii="仿宋" w:hAnsi="仿宋" w:eastAsia="仿宋"/>
          <w:color w:val="000000"/>
          <w:sz w:val="32"/>
          <w:szCs w:val="24"/>
          <w:highlight w:val="white"/>
          <w:lang w:val="en-US"/>
        </w:rPr>
        <w:t>于预算数的主要原因</w:t>
      </w:r>
      <w:r>
        <w:rPr>
          <w:rFonts w:hint="eastAsia" w:ascii="仿宋" w:hAnsi="仿宋" w:eastAsia="仿宋"/>
          <w:color w:val="000000"/>
          <w:sz w:val="32"/>
          <w:szCs w:val="24"/>
          <w:highlight w:val="white"/>
          <w:lang w:val="en-US" w:eastAsia="zh-CN"/>
        </w:rPr>
        <w:t>是合同金额小了。</w:t>
      </w:r>
    </w:p>
    <w:p>
      <w:pPr>
        <w:spacing w:line="560" w:lineRule="exact"/>
        <w:ind w:firstLine="594"/>
        <w:rPr>
          <w:rFonts w:hint="eastAsia"/>
          <w:sz w:val="21"/>
          <w:szCs w:val="24"/>
          <w:lang w:val="en-US" w:eastAsia="zh-CN"/>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体育</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群众体育（项）。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38.90</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38.70</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99.49</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小</w:t>
      </w:r>
      <w:r>
        <w:rPr>
          <w:rFonts w:hint="eastAsia" w:ascii="仿宋" w:hAnsi="仿宋" w:eastAsia="仿宋"/>
          <w:color w:val="000000"/>
          <w:sz w:val="32"/>
          <w:szCs w:val="24"/>
          <w:highlight w:val="white"/>
          <w:lang w:val="en-US"/>
        </w:rPr>
        <w:t>于预算数的主要原因</w:t>
      </w:r>
      <w:r>
        <w:rPr>
          <w:rFonts w:hint="eastAsia" w:ascii="仿宋" w:hAnsi="仿宋" w:eastAsia="仿宋"/>
          <w:color w:val="000000"/>
          <w:sz w:val="32"/>
          <w:szCs w:val="24"/>
          <w:highlight w:val="white"/>
          <w:lang w:val="en-US" w:eastAsia="zh-CN"/>
        </w:rPr>
        <w:t xml:space="preserve">是合同金额小了。   </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广播电视</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其他广播电视支出（项）。年初预算71.55万元，支出决算为38.02万元，完成年初预算的53.14%，</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小</w:t>
      </w:r>
      <w:r>
        <w:rPr>
          <w:rFonts w:hint="eastAsia" w:ascii="仿宋" w:hAnsi="仿宋" w:eastAsia="仿宋"/>
          <w:color w:val="000000"/>
          <w:sz w:val="32"/>
          <w:szCs w:val="24"/>
          <w:highlight w:val="white"/>
          <w:lang w:val="en-US"/>
        </w:rPr>
        <w:t>于预算数的主要原因</w:t>
      </w:r>
      <w:r>
        <w:rPr>
          <w:rFonts w:hint="eastAsia" w:ascii="仿宋" w:hAnsi="仿宋" w:eastAsia="仿宋"/>
          <w:color w:val="000000"/>
          <w:sz w:val="32"/>
          <w:szCs w:val="24"/>
          <w:highlight w:val="white"/>
          <w:lang w:val="en-US" w:eastAsia="zh-CN"/>
        </w:rPr>
        <w:t>是当年下半年的支出放至2022年上半年支出。</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文化旅游体育与传媒支出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其他文化旅游体育与传媒支出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其他文化旅游体育与传媒支出（项）。年初预算143.00万元，支出决算为95.87万元，完成年初预算的67.04%，</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小</w:t>
      </w:r>
      <w:r>
        <w:rPr>
          <w:rFonts w:hint="eastAsia" w:ascii="仿宋" w:hAnsi="仿宋" w:eastAsia="仿宋"/>
          <w:color w:val="000000"/>
          <w:sz w:val="32"/>
          <w:szCs w:val="24"/>
          <w:highlight w:val="white"/>
          <w:lang w:val="en-US"/>
        </w:rPr>
        <w:t>于预算数的主要原因</w:t>
      </w:r>
      <w:r>
        <w:rPr>
          <w:rFonts w:hint="eastAsia" w:ascii="仿宋" w:hAnsi="仿宋" w:eastAsia="仿宋"/>
          <w:color w:val="000000"/>
          <w:sz w:val="32"/>
          <w:szCs w:val="24"/>
          <w:highlight w:val="white"/>
          <w:lang w:val="en-US" w:eastAsia="zh-CN"/>
        </w:rPr>
        <w:t>是当年下半年的支出放至2022年上半年支出。</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社会保障和就业支出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行政事业单位养老支出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机关事业单位基本养老保险缴费支出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66.11</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69.85</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105.66</w:t>
      </w:r>
      <w:r>
        <w:rPr>
          <w:rFonts w:hint="eastAsia" w:ascii="仿宋" w:hAnsi="仿宋" w:eastAsia="仿宋"/>
          <w:color w:val="000000"/>
          <w:sz w:val="32"/>
          <w:szCs w:val="24"/>
          <w:highlight w:val="white"/>
          <w:lang w:val="en-US"/>
        </w:rPr>
        <w:t>%，决算数大于预算数的主要原因</w:t>
      </w:r>
      <w:r>
        <w:rPr>
          <w:rFonts w:hint="eastAsia" w:ascii="仿宋" w:hAnsi="仿宋" w:eastAsia="仿宋"/>
          <w:color w:val="000000"/>
          <w:sz w:val="32"/>
          <w:szCs w:val="24"/>
          <w:highlight w:val="white"/>
          <w:lang w:val="en-US" w:eastAsia="zh-CN"/>
        </w:rPr>
        <w:t>养老金基数的调增。</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社会保障和就业支出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行政事业单位养老支出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机关事业单位职业年金缴费支出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33.05</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34.92</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105.66</w:t>
      </w:r>
      <w:r>
        <w:rPr>
          <w:rFonts w:hint="eastAsia" w:ascii="仿宋" w:hAnsi="仿宋" w:eastAsia="仿宋"/>
          <w:color w:val="000000"/>
          <w:sz w:val="32"/>
          <w:szCs w:val="24"/>
          <w:highlight w:val="white"/>
          <w:lang w:val="en-US"/>
        </w:rPr>
        <w:t>%，决算数大于预算数的主要原因</w:t>
      </w:r>
      <w:r>
        <w:rPr>
          <w:rFonts w:hint="eastAsia" w:ascii="仿宋" w:hAnsi="仿宋" w:eastAsia="仿宋"/>
          <w:color w:val="000000"/>
          <w:sz w:val="32"/>
          <w:szCs w:val="24"/>
          <w:highlight w:val="white"/>
          <w:lang w:val="en-US" w:eastAsia="zh-CN"/>
        </w:rPr>
        <w:t>职业年金基数的调增。</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农林水支出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农业农村（</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其他农业农村支出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：年初预算为0万元，支出决算为200万元，完成年初预算的100%，决算数大于预算数的原因是为省级专项补助资金。</w:t>
      </w:r>
    </w:p>
    <w:p>
      <w:pPr>
        <w:spacing w:line="560" w:lineRule="exact"/>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住房保障支出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住房改革支出（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住房公积金</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91.96</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103.43</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112.47</w:t>
      </w:r>
      <w:r>
        <w:rPr>
          <w:rFonts w:hint="eastAsia" w:ascii="仿宋" w:hAnsi="仿宋" w:eastAsia="仿宋"/>
          <w:color w:val="000000"/>
          <w:sz w:val="32"/>
          <w:szCs w:val="24"/>
          <w:highlight w:val="white"/>
          <w:lang w:val="en-US"/>
        </w:rPr>
        <w:t>%，决算数大于预算数的主要原因</w:t>
      </w:r>
      <w:r>
        <w:rPr>
          <w:rFonts w:hint="eastAsia" w:ascii="仿宋" w:hAnsi="仿宋" w:eastAsia="仿宋"/>
          <w:color w:val="000000"/>
          <w:sz w:val="32"/>
          <w:szCs w:val="24"/>
          <w:highlight w:val="white"/>
          <w:lang w:val="en-US" w:eastAsia="zh-CN"/>
        </w:rPr>
        <w:t>公积金基数的调增。</w:t>
      </w:r>
    </w:p>
    <w:p>
      <w:pPr>
        <w:spacing w:line="560" w:lineRule="exact"/>
        <w:ind w:firstLine="594"/>
        <w:rPr>
          <w:rStyle w:val="9"/>
          <w:rFonts w:hint="default" w:ascii="Arial" w:hAnsi="Arial" w:cs="Times New Roman"/>
          <w:sz w:val="32"/>
          <w:szCs w:val="24"/>
          <w:lang w:val="en-US"/>
        </w:rPr>
      </w:pPr>
      <w:r>
        <w:rPr>
          <w:rStyle w:val="9"/>
          <w:rFonts w:hint="eastAsia" w:ascii="Arial" w:hAnsi="Arial" w:cs="Times New Roman"/>
          <w:sz w:val="32"/>
          <w:szCs w:val="24"/>
          <w:lang w:val="en-US"/>
        </w:rPr>
        <w:t>（六）一般公共预算财政拨款基本支出决算情况说明</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2021年度一般公共预算财政拨款基本支出</w:t>
      </w:r>
      <w:r>
        <w:rPr>
          <w:rFonts w:hint="eastAsia" w:ascii="仿宋" w:hAnsi="仿宋" w:eastAsia="仿宋"/>
          <w:color w:val="000000"/>
          <w:sz w:val="32"/>
          <w:szCs w:val="24"/>
          <w:highlight w:val="white"/>
          <w:lang w:val="en-US" w:eastAsia="zh-CN"/>
        </w:rPr>
        <w:t>1413.24</w:t>
      </w:r>
      <w:r>
        <w:rPr>
          <w:rFonts w:hint="eastAsia" w:ascii="仿宋" w:hAnsi="仿宋" w:eastAsia="仿宋"/>
          <w:color w:val="000000"/>
          <w:sz w:val="32"/>
          <w:szCs w:val="24"/>
          <w:highlight w:val="white"/>
          <w:lang w:val="en-US"/>
        </w:rPr>
        <w:t>万元，其中：</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人员经费</w:t>
      </w:r>
      <w:r>
        <w:rPr>
          <w:rFonts w:hint="eastAsia" w:ascii="仿宋" w:hAnsi="仿宋" w:eastAsia="仿宋"/>
          <w:color w:val="000000"/>
          <w:sz w:val="32"/>
          <w:szCs w:val="24"/>
          <w:highlight w:val="white"/>
          <w:lang w:val="en-US" w:eastAsia="zh-CN"/>
        </w:rPr>
        <w:t>1283.23</w:t>
      </w:r>
      <w:r>
        <w:rPr>
          <w:rFonts w:hint="eastAsia" w:ascii="仿宋" w:hAnsi="仿宋" w:eastAsia="仿宋"/>
          <w:color w:val="000000"/>
          <w:sz w:val="32"/>
          <w:szCs w:val="24"/>
          <w:highlight w:val="white"/>
          <w:lang w:val="en-US"/>
        </w:rPr>
        <w:t>万元，主要包括：基本工资、津贴补贴、奖金、</w:t>
      </w:r>
      <w:r>
        <w:rPr>
          <w:rFonts w:hint="eastAsia" w:ascii="仿宋" w:hAnsi="仿宋" w:eastAsia="仿宋"/>
          <w:color w:val="000000"/>
          <w:sz w:val="32"/>
          <w:szCs w:val="24"/>
          <w:highlight w:val="white"/>
          <w:lang w:val="en-US" w:eastAsia="zh-CN"/>
        </w:rPr>
        <w:t>绩效工资、机关事业养老保险缴费、职业年金、职工基本医疗保险缴费、其他社会保障缴费、住房公积金、其他工资福利支出、生活补助</w:t>
      </w:r>
      <w:r>
        <w:rPr>
          <w:rFonts w:hint="eastAsia" w:ascii="仿宋" w:hAnsi="仿宋" w:eastAsia="仿宋"/>
          <w:color w:val="000000"/>
          <w:sz w:val="32"/>
          <w:szCs w:val="24"/>
          <w:highlight w:val="white"/>
          <w:lang w:val="en-US"/>
        </w:rPr>
        <w:t>。</w:t>
      </w:r>
    </w:p>
    <w:p>
      <w:pPr>
        <w:spacing w:line="560" w:lineRule="exact"/>
        <w:ind w:firstLine="594"/>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公用经费</w:t>
      </w:r>
      <w:r>
        <w:rPr>
          <w:rFonts w:hint="eastAsia" w:ascii="仿宋" w:hAnsi="仿宋" w:eastAsia="仿宋"/>
          <w:color w:val="000000"/>
          <w:sz w:val="32"/>
          <w:szCs w:val="24"/>
          <w:highlight w:val="white"/>
          <w:lang w:val="en-US" w:eastAsia="zh-CN"/>
        </w:rPr>
        <w:t>130.01</w:t>
      </w:r>
      <w:r>
        <w:rPr>
          <w:rFonts w:hint="eastAsia" w:ascii="仿宋" w:hAnsi="仿宋" w:eastAsia="仿宋"/>
          <w:color w:val="000000"/>
          <w:sz w:val="32"/>
          <w:szCs w:val="24"/>
          <w:highlight w:val="white"/>
          <w:lang w:val="en-US"/>
        </w:rPr>
        <w:t>万元，主要包括：办公费、</w:t>
      </w:r>
      <w:r>
        <w:rPr>
          <w:rFonts w:hint="eastAsia" w:ascii="仿宋" w:hAnsi="仿宋" w:eastAsia="仿宋"/>
          <w:color w:val="000000"/>
          <w:sz w:val="32"/>
          <w:szCs w:val="24"/>
          <w:highlight w:val="white"/>
          <w:lang w:val="en-US" w:eastAsia="zh-CN"/>
        </w:rPr>
        <w:t>水费、电费、邮电费、差旅费、维修（护）费、委托业务费、工会经费、福利费、公务用车运行维护费、其他交通费用、其他商品和服务支出、公务用车购置</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b/>
          <w:color w:val="000000"/>
          <w:sz w:val="32"/>
          <w:szCs w:val="24"/>
          <w:highlight w:val="white"/>
          <w:lang w:val="en-US"/>
        </w:rPr>
      </w:pPr>
      <w:bookmarkStart w:id="8" w:name="_Toc20246"/>
      <w:r>
        <w:rPr>
          <w:rStyle w:val="9"/>
          <w:rFonts w:hint="eastAsia"/>
          <w:sz w:val="32"/>
          <w:szCs w:val="24"/>
          <w:lang w:val="en-US"/>
        </w:rPr>
        <w:t>（七）政府性基金预算财政拨款支出</w:t>
      </w:r>
      <w:r>
        <w:rPr>
          <w:rStyle w:val="9"/>
          <w:rFonts w:hint="eastAsia"/>
          <w:sz w:val="32"/>
          <w:szCs w:val="24"/>
          <w:lang w:val="zh-CN"/>
        </w:rPr>
        <w:t>决算</w:t>
      </w:r>
      <w:r>
        <w:rPr>
          <w:rStyle w:val="9"/>
          <w:rFonts w:hint="eastAsia"/>
          <w:sz w:val="32"/>
          <w:szCs w:val="24"/>
          <w:lang w:val="en-US"/>
        </w:rPr>
        <w:t>总体情况说明</w:t>
      </w:r>
      <w:bookmarkEnd w:id="8"/>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1.政府性基金预算财政拨款支出决算总体情况。</w:t>
      </w:r>
    </w:p>
    <w:p>
      <w:pPr>
        <w:spacing w:line="560" w:lineRule="exact"/>
        <w:ind w:firstLine="606"/>
        <w:rPr>
          <w:rFonts w:hint="eastAsia" w:ascii="仿宋_GB2312" w:hAnsi="仿宋_GB2312" w:eastAsia="仿宋_GB2312"/>
          <w:b/>
          <w:color w:val="000000"/>
          <w:sz w:val="32"/>
          <w:szCs w:val="24"/>
          <w:highlight w:val="white"/>
          <w:lang w:val="en-US"/>
        </w:rPr>
      </w:pPr>
      <w:r>
        <w:rPr>
          <w:rFonts w:hint="eastAsia" w:ascii="仿宋" w:hAnsi="仿宋" w:eastAsia="仿宋"/>
          <w:color w:val="000000"/>
          <w:sz w:val="32"/>
          <w:szCs w:val="24"/>
          <w:highlight w:val="white"/>
          <w:lang w:val="en-US"/>
        </w:rPr>
        <w:t>2021年度政府性基金预算财政拨款支出</w:t>
      </w:r>
      <w:r>
        <w:rPr>
          <w:rFonts w:hint="eastAsia" w:ascii="仿宋" w:hAnsi="仿宋" w:eastAsia="仿宋"/>
          <w:color w:val="000000"/>
          <w:sz w:val="32"/>
          <w:szCs w:val="24"/>
          <w:highlight w:val="white"/>
          <w:lang w:val="en-US" w:eastAsia="zh-CN"/>
        </w:rPr>
        <w:t>619.23</w:t>
      </w:r>
      <w:r>
        <w:rPr>
          <w:rFonts w:hint="eastAsia" w:ascii="仿宋" w:hAnsi="仿宋" w:eastAsia="仿宋"/>
          <w:color w:val="000000"/>
          <w:sz w:val="32"/>
          <w:szCs w:val="24"/>
          <w:highlight w:val="white"/>
          <w:lang w:val="en-US"/>
        </w:rPr>
        <w:t>万元，占本年支出合计的</w:t>
      </w:r>
      <w:r>
        <w:rPr>
          <w:rFonts w:hint="eastAsia" w:ascii="仿宋" w:hAnsi="仿宋" w:eastAsia="仿宋"/>
          <w:color w:val="000000"/>
          <w:sz w:val="32"/>
          <w:szCs w:val="24"/>
          <w:highlight w:val="white"/>
          <w:lang w:val="en-US" w:eastAsia="zh-CN"/>
        </w:rPr>
        <w:t>12.55</w:t>
      </w:r>
      <w:r>
        <w:rPr>
          <w:rFonts w:hint="eastAsia" w:ascii="仿宋" w:hAnsi="仿宋" w:eastAsia="仿宋"/>
          <w:color w:val="000000"/>
          <w:sz w:val="32"/>
          <w:szCs w:val="24"/>
          <w:highlight w:val="white"/>
          <w:lang w:val="en-US"/>
        </w:rPr>
        <w:t>%。与2020年相比，政府性基金预算财政拨款支出增加</w:t>
      </w:r>
      <w:r>
        <w:rPr>
          <w:rFonts w:hint="eastAsia" w:ascii="仿宋" w:hAnsi="仿宋" w:eastAsia="仿宋"/>
          <w:color w:val="000000"/>
          <w:sz w:val="32"/>
          <w:szCs w:val="24"/>
          <w:highlight w:val="white"/>
          <w:lang w:val="en-US" w:eastAsia="zh-CN"/>
        </w:rPr>
        <w:t>252.97</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69.07</w:t>
      </w:r>
      <w:r>
        <w:rPr>
          <w:rFonts w:hint="eastAsia" w:ascii="仿宋" w:hAnsi="仿宋" w:eastAsia="仿宋"/>
          <w:color w:val="000000"/>
          <w:sz w:val="32"/>
          <w:szCs w:val="24"/>
          <w:highlight w:val="white"/>
          <w:lang w:val="en-US"/>
        </w:rPr>
        <w:t>%。主要原因</w:t>
      </w:r>
      <w:r>
        <w:rPr>
          <w:rFonts w:hint="eastAsia" w:ascii="仿宋" w:hAnsi="仿宋" w:eastAsia="仿宋"/>
          <w:color w:val="000000"/>
          <w:sz w:val="32"/>
          <w:szCs w:val="24"/>
          <w:highlight w:val="white"/>
          <w:lang w:val="en-US" w:eastAsia="zh-CN"/>
        </w:rPr>
        <w:t>一</w:t>
      </w:r>
      <w:r>
        <w:rPr>
          <w:rFonts w:hint="eastAsia" w:ascii="仿宋" w:hAnsi="仿宋" w:eastAsia="仿宋"/>
          <w:color w:val="000000"/>
          <w:sz w:val="32"/>
          <w:szCs w:val="24"/>
          <w:highlight w:val="white"/>
          <w:lang w:val="en-US"/>
        </w:rPr>
        <w:t>是</w:t>
      </w:r>
      <w:r>
        <w:rPr>
          <w:rFonts w:hint="eastAsia" w:ascii="仿宋" w:hAnsi="仿宋" w:eastAsia="仿宋"/>
          <w:color w:val="000000"/>
          <w:sz w:val="32"/>
          <w:szCs w:val="24"/>
          <w:highlight w:val="white"/>
          <w:lang w:val="en-US" w:eastAsia="zh-CN"/>
        </w:rPr>
        <w:t>政府投资项目支出，二是体育彩票基金支出额度较上年增加</w:t>
      </w:r>
      <w:r>
        <w:rPr>
          <w:rFonts w:hint="eastAsia" w:ascii="仿宋" w:hAnsi="仿宋" w:eastAsia="仿宋"/>
          <w:color w:val="000000"/>
          <w:sz w:val="32"/>
          <w:szCs w:val="24"/>
          <w:highlight w:val="white"/>
          <w:lang w:val="en-US"/>
        </w:rPr>
        <w:t>。</w:t>
      </w:r>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2.政府性基金预算财政拨款支出决算结构情况。</w:t>
      </w:r>
    </w:p>
    <w:p>
      <w:pPr>
        <w:spacing w:line="560" w:lineRule="exact"/>
        <w:ind w:firstLine="606"/>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2021年度政府性基金预算财政拨款支出</w:t>
      </w:r>
      <w:r>
        <w:rPr>
          <w:rFonts w:hint="eastAsia" w:ascii="仿宋" w:hAnsi="仿宋" w:eastAsia="仿宋"/>
          <w:color w:val="000000"/>
          <w:sz w:val="32"/>
          <w:szCs w:val="24"/>
          <w:highlight w:val="white"/>
          <w:lang w:val="en-US" w:eastAsia="zh-CN"/>
        </w:rPr>
        <w:t>619.23</w:t>
      </w:r>
      <w:r>
        <w:rPr>
          <w:rFonts w:hint="eastAsia" w:ascii="仿宋" w:hAnsi="仿宋" w:eastAsia="仿宋"/>
          <w:color w:val="000000"/>
          <w:sz w:val="32"/>
          <w:szCs w:val="24"/>
          <w:highlight w:val="white"/>
          <w:lang w:val="en-US"/>
        </w:rPr>
        <w:t>万元，主要用于以下方面：科学技术（类）支出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%；文化旅游体育与传媒（类）支出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%；社会保障和就业（类）支出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%；节能环保（类）支出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%；城乡社区（类）支出</w:t>
      </w:r>
      <w:r>
        <w:rPr>
          <w:rFonts w:hint="eastAsia" w:ascii="仿宋" w:hAnsi="仿宋" w:eastAsia="仿宋"/>
          <w:color w:val="000000"/>
          <w:sz w:val="32"/>
          <w:szCs w:val="24"/>
          <w:highlight w:val="white"/>
          <w:lang w:val="en-US" w:eastAsia="zh-CN"/>
        </w:rPr>
        <w:t>124.24</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20.06</w:t>
      </w:r>
      <w:r>
        <w:rPr>
          <w:rFonts w:hint="eastAsia" w:ascii="仿宋" w:hAnsi="仿宋" w:eastAsia="仿宋"/>
          <w:color w:val="000000"/>
          <w:sz w:val="32"/>
          <w:szCs w:val="24"/>
          <w:highlight w:val="white"/>
          <w:lang w:val="en-US"/>
        </w:rPr>
        <w:t>%；农林水（类）支出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%；交通运输（类）支出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%；资源勘探信息等（类）支出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%；金融（类）支出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%；其他（类）支出</w:t>
      </w:r>
      <w:r>
        <w:rPr>
          <w:rFonts w:hint="eastAsia" w:ascii="仿宋" w:hAnsi="仿宋" w:eastAsia="仿宋"/>
          <w:color w:val="000000"/>
          <w:sz w:val="32"/>
          <w:szCs w:val="24"/>
          <w:highlight w:val="white"/>
          <w:lang w:val="en-US" w:eastAsia="zh-CN"/>
        </w:rPr>
        <w:t>494.99</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79.94</w:t>
      </w:r>
      <w:r>
        <w:rPr>
          <w:rFonts w:hint="eastAsia" w:ascii="仿宋" w:hAnsi="仿宋" w:eastAsia="仿宋"/>
          <w:color w:val="000000"/>
          <w:sz w:val="32"/>
          <w:szCs w:val="24"/>
          <w:highlight w:val="white"/>
          <w:lang w:val="en-US"/>
        </w:rPr>
        <w:t>%；债务付息（类）支出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%；抗疫特别国债安排（类）支出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3.政府性基金预算财政拨款支出决算具体情况。</w:t>
      </w:r>
    </w:p>
    <w:p>
      <w:pPr>
        <w:spacing w:line="560" w:lineRule="exact"/>
        <w:ind w:firstLine="594"/>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2021年度</w:t>
      </w:r>
      <w:r>
        <w:rPr>
          <w:rFonts w:hint="eastAsia" w:ascii="仿宋" w:hAnsi="仿宋" w:eastAsia="仿宋"/>
          <w:color w:val="000000"/>
          <w:sz w:val="32"/>
          <w:szCs w:val="24"/>
          <w:highlight w:val="white"/>
          <w:lang w:val="en-US"/>
        </w:rPr>
        <w:t>政府性基金预算</w:t>
      </w:r>
      <w:r>
        <w:rPr>
          <w:rFonts w:hint="eastAsia" w:ascii="仿宋" w:hAnsi="仿宋" w:eastAsia="仿宋"/>
          <w:color w:val="auto"/>
          <w:sz w:val="32"/>
          <w:szCs w:val="24"/>
          <w:highlight w:val="white"/>
          <w:lang w:val="en-US"/>
        </w:rPr>
        <w:t>财政拨款支出年初预算为</w:t>
      </w:r>
      <w:r>
        <w:rPr>
          <w:rFonts w:hint="eastAsia" w:ascii="仿宋" w:hAnsi="仿宋" w:eastAsia="仿宋"/>
          <w:color w:val="000000"/>
          <w:sz w:val="32"/>
          <w:szCs w:val="24"/>
          <w:highlight w:val="white"/>
          <w:lang w:val="en-US" w:eastAsia="zh-CN"/>
        </w:rPr>
        <w:t>551</w:t>
      </w:r>
      <w:r>
        <w:rPr>
          <w:rFonts w:hint="eastAsia" w:ascii="仿宋" w:hAnsi="仿宋" w:eastAsia="仿宋"/>
          <w:color w:val="auto"/>
          <w:sz w:val="32"/>
          <w:szCs w:val="24"/>
          <w:highlight w:val="white"/>
          <w:lang w:val="en-US"/>
        </w:rPr>
        <w:t>万元，支出决算为</w:t>
      </w:r>
      <w:r>
        <w:rPr>
          <w:rFonts w:hint="eastAsia" w:ascii="仿宋" w:hAnsi="仿宋" w:eastAsia="仿宋"/>
          <w:color w:val="000000"/>
          <w:sz w:val="32"/>
          <w:szCs w:val="24"/>
          <w:highlight w:val="white"/>
          <w:lang w:val="en-US" w:eastAsia="zh-CN"/>
        </w:rPr>
        <w:t>619.23</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112.38</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，主要原因是</w:t>
      </w:r>
      <w:r>
        <w:rPr>
          <w:rFonts w:hint="eastAsia" w:ascii="仿宋" w:hAnsi="仿宋" w:eastAsia="仿宋"/>
          <w:color w:val="auto"/>
          <w:sz w:val="32"/>
          <w:szCs w:val="24"/>
          <w:highlight w:val="white"/>
          <w:lang w:val="en-US" w:eastAsia="zh-CN"/>
        </w:rPr>
        <w:t>政府投资项目支出，该项支出不包括在年初预算，年度内根据实际需要申请资金</w:t>
      </w:r>
      <w:r>
        <w:rPr>
          <w:rFonts w:hint="eastAsia" w:ascii="仿宋" w:hAnsi="仿宋" w:eastAsia="仿宋"/>
          <w:color w:val="auto"/>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其他支出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彩票公益金安排的支出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用于体育事业的彩票公益金支出</w:t>
      </w:r>
      <w:r>
        <w:rPr>
          <w:rFonts w:hint="eastAsia" w:ascii="仿宋" w:hAnsi="仿宋" w:eastAsia="仿宋"/>
          <w:color w:val="000000"/>
          <w:sz w:val="32"/>
          <w:szCs w:val="24"/>
          <w:highlight w:val="white"/>
          <w:lang w:val="en-US"/>
        </w:rPr>
        <w:t>（项）。年初预算为</w:t>
      </w:r>
      <w:r>
        <w:rPr>
          <w:rFonts w:hint="eastAsia" w:ascii="仿宋" w:hAnsi="仿宋" w:eastAsia="仿宋"/>
          <w:color w:val="000000"/>
          <w:sz w:val="32"/>
          <w:szCs w:val="24"/>
          <w:highlight w:val="white"/>
          <w:lang w:val="en-US" w:eastAsia="zh-CN"/>
        </w:rPr>
        <w:t>551</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494.99</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89.83</w:t>
      </w:r>
      <w:r>
        <w:rPr>
          <w:rFonts w:hint="eastAsia" w:ascii="仿宋" w:hAnsi="仿宋" w:eastAsia="仿宋"/>
          <w:color w:val="000000"/>
          <w:sz w:val="32"/>
          <w:szCs w:val="24"/>
          <w:highlight w:val="white"/>
          <w:lang w:val="en-US"/>
        </w:rPr>
        <w:t>%，决算数小于预算数的主要原因</w:t>
      </w:r>
      <w:r>
        <w:rPr>
          <w:rFonts w:hint="eastAsia" w:ascii="仿宋" w:hAnsi="仿宋" w:eastAsia="仿宋"/>
          <w:color w:val="000000"/>
          <w:sz w:val="32"/>
          <w:szCs w:val="24"/>
          <w:highlight w:val="white"/>
          <w:lang w:val="en-US" w:eastAsia="zh-CN"/>
        </w:rPr>
        <w:t>是</w:t>
      </w:r>
      <w:r>
        <w:rPr>
          <w:rFonts w:hint="eastAsia" w:ascii="仿宋" w:hAnsi="仿宋" w:eastAsia="仿宋"/>
          <w:color w:val="auto"/>
          <w:sz w:val="32"/>
          <w:szCs w:val="24"/>
          <w:highlight w:val="white"/>
          <w:lang w:val="en-US" w:eastAsia="zh-CN"/>
        </w:rPr>
        <w:t>备战省第十七届运动会专项经费部分工和需在2022年开展</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城乡社区支出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国有土地使用权出让收入安排的支出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城市建设支出</w:t>
      </w:r>
      <w:r>
        <w:rPr>
          <w:rFonts w:hint="eastAsia" w:ascii="仿宋" w:hAnsi="仿宋" w:eastAsia="仿宋"/>
          <w:color w:val="000000"/>
          <w:sz w:val="32"/>
          <w:szCs w:val="24"/>
          <w:highlight w:val="white"/>
          <w:lang w:val="en-US"/>
        </w:rPr>
        <w:t>（项）。年初预算为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124.24</w:t>
      </w:r>
      <w:r>
        <w:rPr>
          <w:rFonts w:hint="eastAsia" w:ascii="仿宋" w:hAnsi="仿宋" w:eastAsia="仿宋"/>
          <w:color w:val="000000"/>
          <w:sz w:val="32"/>
          <w:szCs w:val="24"/>
          <w:highlight w:val="white"/>
          <w:lang w:val="en-US"/>
        </w:rPr>
        <w:t>万元，决算数</w:t>
      </w:r>
      <w:r>
        <w:rPr>
          <w:rFonts w:hint="eastAsia" w:ascii="仿宋" w:hAnsi="仿宋" w:eastAsia="仿宋"/>
          <w:color w:val="000000"/>
          <w:sz w:val="32"/>
          <w:szCs w:val="24"/>
          <w:highlight w:val="white"/>
          <w:lang w:val="en-US" w:eastAsia="zh-CN"/>
        </w:rPr>
        <w:t>大</w:t>
      </w:r>
      <w:r>
        <w:rPr>
          <w:rFonts w:hint="eastAsia" w:ascii="仿宋" w:hAnsi="仿宋" w:eastAsia="仿宋"/>
          <w:color w:val="000000"/>
          <w:sz w:val="32"/>
          <w:szCs w:val="24"/>
          <w:highlight w:val="white"/>
          <w:lang w:val="en-US"/>
        </w:rPr>
        <w:t>于预算数的主要原因</w:t>
      </w:r>
      <w:r>
        <w:rPr>
          <w:rFonts w:hint="eastAsia" w:ascii="仿宋" w:hAnsi="仿宋" w:eastAsia="仿宋"/>
          <w:color w:val="000000"/>
          <w:sz w:val="32"/>
          <w:szCs w:val="24"/>
          <w:highlight w:val="white"/>
          <w:lang w:val="en-US" w:eastAsia="zh-CN"/>
        </w:rPr>
        <w:t>是</w:t>
      </w:r>
      <w:r>
        <w:rPr>
          <w:rFonts w:hint="eastAsia" w:ascii="仿宋" w:hAnsi="仿宋" w:eastAsia="仿宋"/>
          <w:color w:val="auto"/>
          <w:sz w:val="32"/>
          <w:szCs w:val="24"/>
          <w:highlight w:val="white"/>
          <w:lang w:val="en-US" w:eastAsia="zh-CN"/>
        </w:rPr>
        <w:t>政府投资项目支出，该项支出不包括在年初预算，年度内根据实际需要申请资金</w:t>
      </w:r>
      <w:r>
        <w:rPr>
          <w:rFonts w:hint="eastAsia" w:ascii="仿宋" w:hAnsi="仿宋" w:eastAsia="仿宋"/>
          <w:color w:val="auto"/>
          <w:sz w:val="32"/>
          <w:szCs w:val="24"/>
          <w:highlight w:val="white"/>
          <w:lang w:val="en-US"/>
        </w:rPr>
        <w:t>。</w:t>
      </w:r>
    </w:p>
    <w:p>
      <w:pPr>
        <w:numPr>
          <w:ilvl w:val="0"/>
          <w:numId w:val="0"/>
        </w:numPr>
        <w:spacing w:line="560" w:lineRule="exact"/>
        <w:ind w:firstLine="643" w:firstLineChars="200"/>
        <w:rPr>
          <w:rStyle w:val="9"/>
          <w:rFonts w:hint="eastAsia"/>
          <w:sz w:val="32"/>
          <w:szCs w:val="24"/>
          <w:lang w:val="en-US" w:eastAsia="zh-CN"/>
        </w:rPr>
      </w:pPr>
      <w:bookmarkStart w:id="9" w:name="_Toc29153"/>
      <w:r>
        <w:rPr>
          <w:rStyle w:val="9"/>
          <w:rFonts w:hint="eastAsia"/>
          <w:sz w:val="32"/>
          <w:szCs w:val="24"/>
          <w:lang w:val="en-US" w:eastAsia="zh-CN"/>
        </w:rPr>
        <w:t>（八）</w:t>
      </w:r>
      <w:r>
        <w:rPr>
          <w:rStyle w:val="9"/>
          <w:rFonts w:hint="eastAsia"/>
          <w:sz w:val="32"/>
          <w:szCs w:val="24"/>
          <w:lang w:val="en-US"/>
        </w:rPr>
        <w:t>国有资本经营预算财政拨款支出</w:t>
      </w:r>
      <w:r>
        <w:rPr>
          <w:rStyle w:val="9"/>
          <w:rFonts w:hint="eastAsia"/>
          <w:sz w:val="32"/>
          <w:szCs w:val="24"/>
          <w:lang w:val="zh-CN"/>
        </w:rPr>
        <w:t>决算</w:t>
      </w:r>
      <w:r>
        <w:rPr>
          <w:rStyle w:val="9"/>
          <w:rFonts w:hint="eastAsia"/>
          <w:sz w:val="32"/>
          <w:szCs w:val="24"/>
          <w:lang w:val="en-US"/>
        </w:rPr>
        <w:t>总体情况说明</w:t>
      </w:r>
      <w:r>
        <w:rPr>
          <w:rStyle w:val="9"/>
          <w:rFonts w:hint="eastAsia"/>
          <w:sz w:val="32"/>
          <w:szCs w:val="24"/>
          <w:lang w:val="en-US" w:eastAsia="zh-CN"/>
        </w:rPr>
        <w:t xml:space="preserve"> </w:t>
      </w:r>
    </w:p>
    <w:bookmarkEnd w:id="9"/>
    <w:p>
      <w:pPr>
        <w:numPr>
          <w:ilvl w:val="0"/>
          <w:numId w:val="0"/>
        </w:numPr>
        <w:spacing w:line="560" w:lineRule="exact"/>
        <w:ind w:firstLine="640" w:firstLineChars="200"/>
        <w:rPr>
          <w:rFonts w:hint="eastAsia" w:ascii="仿宋" w:hAnsi="仿宋" w:eastAsia="仿宋"/>
          <w:b/>
          <w:color w:val="000000"/>
          <w:sz w:val="32"/>
          <w:szCs w:val="24"/>
          <w:highlight w:val="white"/>
          <w:lang w:val="en-US" w:eastAsia="zh-CN"/>
        </w:rPr>
      </w:pPr>
      <w:r>
        <w:rPr>
          <w:rFonts w:hint="eastAsia" w:ascii="仿宋" w:hAnsi="仿宋" w:eastAsia="仿宋"/>
          <w:color w:val="000000"/>
          <w:sz w:val="32"/>
          <w:szCs w:val="24"/>
          <w:highlight w:val="white"/>
          <w:lang w:val="en-US"/>
        </w:rPr>
        <w:t>本单位2021年度无国有资本经营预算财政拨款收支安排，故无相关数据</w:t>
      </w:r>
      <w:r>
        <w:rPr>
          <w:rFonts w:hint="eastAsia" w:ascii="仿宋" w:hAnsi="仿宋" w:eastAsia="仿宋"/>
          <w:color w:val="000000"/>
          <w:sz w:val="32"/>
          <w:szCs w:val="24"/>
          <w:highlight w:val="white"/>
          <w:lang w:val="en-US" w:eastAsia="zh-CN"/>
        </w:rPr>
        <w:t>。</w:t>
      </w:r>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1.国有资本经营预算财政拨款支出决算总体情况。</w:t>
      </w:r>
    </w:p>
    <w:p>
      <w:pPr>
        <w:spacing w:line="560" w:lineRule="exact"/>
        <w:ind w:firstLine="606"/>
        <w:rPr>
          <w:rFonts w:hint="eastAsia" w:ascii="仿宋_GB2312" w:hAnsi="仿宋_GB2312" w:eastAsia="仿宋_GB2312"/>
          <w:b/>
          <w:color w:val="000000"/>
          <w:sz w:val="32"/>
          <w:szCs w:val="24"/>
          <w:highlight w:val="white"/>
          <w:lang w:val="en-US"/>
        </w:rPr>
      </w:pPr>
      <w:r>
        <w:rPr>
          <w:rFonts w:hint="eastAsia" w:ascii="仿宋" w:hAnsi="仿宋" w:eastAsia="仿宋"/>
          <w:color w:val="000000"/>
          <w:sz w:val="32"/>
          <w:szCs w:val="24"/>
          <w:highlight w:val="white"/>
          <w:lang w:val="en-US"/>
        </w:rPr>
        <w:t>2021年度国有资本经营预算财政拨款支出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万元，占本年支出合计的</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w:t>
      </w:r>
    </w:p>
    <w:p>
      <w:pPr>
        <w:spacing w:line="560" w:lineRule="exact"/>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2.国有资本经营预算财政拨款支出决算结构情况。</w:t>
      </w:r>
    </w:p>
    <w:p>
      <w:pPr>
        <w:spacing w:line="560" w:lineRule="exact"/>
        <w:ind w:firstLine="606"/>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2021年度国有资本经营预算财政拨款支出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万元，主要用于以下方面：国有资本经营（类）支出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3.国有资本经营预算财政拨款支出决算具体情况。</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auto"/>
          <w:sz w:val="32"/>
          <w:szCs w:val="24"/>
          <w:highlight w:val="white"/>
          <w:lang w:val="en-US"/>
        </w:rPr>
        <w:t>2021年度</w:t>
      </w:r>
      <w:r>
        <w:rPr>
          <w:rFonts w:hint="eastAsia" w:ascii="仿宋" w:hAnsi="仿宋" w:eastAsia="仿宋"/>
          <w:color w:val="000000"/>
          <w:sz w:val="32"/>
          <w:szCs w:val="24"/>
          <w:highlight w:val="white"/>
          <w:lang w:val="en-US"/>
        </w:rPr>
        <w:t>国有资本经营预算</w:t>
      </w:r>
      <w:r>
        <w:rPr>
          <w:rFonts w:hint="eastAsia" w:ascii="仿宋" w:hAnsi="仿宋" w:eastAsia="仿宋"/>
          <w:color w:val="auto"/>
          <w:sz w:val="32"/>
          <w:szCs w:val="24"/>
          <w:highlight w:val="white"/>
          <w:lang w:val="en-US"/>
        </w:rPr>
        <w:t>财政拨款支出年初预算为</w:t>
      </w:r>
      <w:r>
        <w:rPr>
          <w:rFonts w:hint="eastAsia" w:ascii="仿宋" w:hAnsi="仿宋" w:eastAsia="仿宋"/>
          <w:color w:val="000000"/>
          <w:sz w:val="32"/>
          <w:szCs w:val="24"/>
          <w:highlight w:val="white"/>
          <w:lang w:val="en-US" w:eastAsia="zh-CN"/>
        </w:rPr>
        <w:t>0</w:t>
      </w:r>
      <w:r>
        <w:rPr>
          <w:rFonts w:hint="eastAsia" w:ascii="仿宋" w:hAnsi="仿宋" w:eastAsia="仿宋"/>
          <w:color w:val="auto"/>
          <w:sz w:val="32"/>
          <w:szCs w:val="24"/>
          <w:highlight w:val="white"/>
          <w:lang w:val="en-US"/>
        </w:rPr>
        <w:t>万元，支出决算为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w:t>
      </w:r>
      <w:r>
        <w:rPr>
          <w:rFonts w:hint="eastAsia" w:ascii="仿宋" w:hAnsi="仿宋" w:eastAsia="仿宋"/>
          <w:color w:val="auto"/>
          <w:sz w:val="32"/>
          <w:szCs w:val="24"/>
          <w:highlight w:val="white"/>
          <w:lang w:val="en-US" w:eastAsia="zh-CN"/>
        </w:rPr>
        <w:t>决算数等于预算数。</w:t>
      </w:r>
    </w:p>
    <w:p>
      <w:pPr>
        <w:spacing w:line="560" w:lineRule="exact"/>
        <w:ind w:firstLine="594"/>
        <w:outlineLvl w:val="1"/>
        <w:rPr>
          <w:rFonts w:hint="default" w:eastAsia="Times New Roman"/>
          <w:b/>
          <w:color w:val="000000"/>
          <w:sz w:val="32"/>
          <w:szCs w:val="24"/>
          <w:highlight w:val="white"/>
          <w:lang w:val="en-US"/>
        </w:rPr>
      </w:pPr>
      <w:bookmarkStart w:id="10" w:name="_Toc29975"/>
      <w:r>
        <w:rPr>
          <w:rStyle w:val="9"/>
          <w:rFonts w:hint="eastAsia"/>
          <w:sz w:val="32"/>
          <w:szCs w:val="24"/>
          <w:lang w:val="en-US"/>
        </w:rPr>
        <w:t>（九）一般公共预算财政拨款</w:t>
      </w:r>
      <w:r>
        <w:rPr>
          <w:rStyle w:val="9"/>
          <w:rFonts w:hint="default"/>
          <w:sz w:val="32"/>
          <w:szCs w:val="24"/>
          <w:lang w:val="en-US"/>
        </w:rPr>
        <w:t>“</w:t>
      </w:r>
      <w:r>
        <w:rPr>
          <w:rStyle w:val="9"/>
          <w:rFonts w:hint="eastAsia"/>
          <w:sz w:val="32"/>
          <w:szCs w:val="24"/>
          <w:lang w:val="en-US"/>
        </w:rPr>
        <w:t>三公</w:t>
      </w:r>
      <w:r>
        <w:rPr>
          <w:rStyle w:val="9"/>
          <w:rFonts w:hint="default"/>
          <w:sz w:val="32"/>
          <w:szCs w:val="24"/>
          <w:lang w:val="en-US"/>
        </w:rPr>
        <w:t>”</w:t>
      </w:r>
      <w:r>
        <w:rPr>
          <w:rStyle w:val="9"/>
          <w:rFonts w:hint="eastAsia"/>
          <w:sz w:val="32"/>
          <w:szCs w:val="24"/>
          <w:lang w:val="en-US"/>
        </w:rPr>
        <w:t>经费支出决算情况</w:t>
      </w:r>
      <w:r>
        <w:rPr>
          <w:rFonts w:hint="eastAsia" w:ascii="楷体" w:hAnsi="楷体" w:eastAsia="楷体"/>
          <w:b/>
          <w:color w:val="000000"/>
          <w:sz w:val="32"/>
          <w:szCs w:val="24"/>
          <w:highlight w:val="white"/>
          <w:lang w:val="en-US"/>
        </w:rPr>
        <w:t>说明</w:t>
      </w:r>
      <w:bookmarkEnd w:id="10"/>
    </w:p>
    <w:p>
      <w:pPr>
        <w:spacing w:line="560" w:lineRule="exact"/>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 xml:space="preserve">1.“三公”经费一般公共预算财政拨款支出决算总体情况说明。 </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2021年度“三公”经费一般公共预算财政拨款支出预算为</w:t>
      </w:r>
      <w:r>
        <w:rPr>
          <w:rFonts w:hint="eastAsia" w:ascii="仿宋" w:hAnsi="仿宋" w:eastAsia="仿宋"/>
          <w:color w:val="000000"/>
          <w:sz w:val="32"/>
          <w:szCs w:val="24"/>
          <w:highlight w:val="white"/>
          <w:lang w:val="en-US" w:eastAsia="zh-CN"/>
        </w:rPr>
        <w:t>30.92</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24.47</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79.14</w:t>
      </w:r>
      <w:r>
        <w:rPr>
          <w:rFonts w:hint="eastAsia" w:ascii="仿宋" w:hAnsi="仿宋" w:eastAsia="仿宋"/>
          <w:color w:val="000000"/>
          <w:sz w:val="32"/>
          <w:szCs w:val="24"/>
          <w:highlight w:val="white"/>
          <w:lang w:val="en-US"/>
        </w:rPr>
        <w:t>%,2021年度“三公”经费支出决算数小于预算数的主要原因</w:t>
      </w:r>
      <w:r>
        <w:rPr>
          <w:rFonts w:hint="eastAsia" w:ascii="仿宋" w:hAnsi="仿宋" w:eastAsia="仿宋"/>
          <w:color w:val="000000"/>
          <w:sz w:val="32"/>
          <w:szCs w:val="24"/>
          <w:highlight w:val="white"/>
          <w:lang w:val="en-US" w:eastAsia="zh-CN"/>
        </w:rPr>
        <w:t>一</w:t>
      </w:r>
      <w:r>
        <w:rPr>
          <w:rFonts w:hint="eastAsia" w:ascii="仿宋" w:hAnsi="仿宋" w:eastAsia="仿宋"/>
          <w:color w:val="000000"/>
          <w:sz w:val="32"/>
          <w:szCs w:val="24"/>
          <w:highlight w:val="white"/>
          <w:lang w:val="en-US"/>
        </w:rPr>
        <w:t>是</w:t>
      </w:r>
      <w:r>
        <w:rPr>
          <w:rFonts w:hint="eastAsia" w:ascii="仿宋" w:hAnsi="仿宋" w:eastAsia="仿宋"/>
          <w:color w:val="000000"/>
          <w:sz w:val="32"/>
          <w:szCs w:val="24"/>
          <w:highlight w:val="white"/>
          <w:lang w:val="en-US" w:eastAsia="zh-CN"/>
        </w:rPr>
        <w:t>年度内购置了新年，公车运行维护费用减少；二是因为疫情，外来人员减少，公务接待量相应减少</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2.“三公”经费一般公共预算财政拨款支出决算具体情况说明。</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2021年度“三公”经费一般公共预算财政拨款支出决算中，因公出国（境）费用支出决算为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%，与2020年度相</w:t>
      </w:r>
      <w:r>
        <w:rPr>
          <w:rFonts w:hint="eastAsia" w:ascii="仿宋" w:hAnsi="仿宋" w:eastAsia="仿宋"/>
          <w:color w:val="000000"/>
          <w:sz w:val="32"/>
          <w:szCs w:val="24"/>
          <w:highlight w:val="white"/>
          <w:lang w:val="en-US" w:eastAsia="zh-CN"/>
        </w:rPr>
        <w:t>同</w:t>
      </w:r>
      <w:r>
        <w:rPr>
          <w:rFonts w:hint="eastAsia" w:ascii="仿宋" w:hAnsi="仿宋" w:eastAsia="仿宋"/>
          <w:color w:val="000000"/>
          <w:sz w:val="32"/>
          <w:szCs w:val="24"/>
          <w:highlight w:val="white"/>
          <w:lang w:val="en-US"/>
        </w:rPr>
        <w:t>；公务用车购置及运行维护费支出决算为</w:t>
      </w:r>
      <w:r>
        <w:rPr>
          <w:rFonts w:hint="eastAsia" w:ascii="仿宋" w:hAnsi="仿宋" w:eastAsia="仿宋"/>
          <w:color w:val="000000"/>
          <w:sz w:val="32"/>
          <w:szCs w:val="24"/>
          <w:highlight w:val="white"/>
          <w:lang w:val="en-US" w:eastAsia="zh-CN"/>
        </w:rPr>
        <w:t>17.07</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69.73</w:t>
      </w:r>
      <w:r>
        <w:rPr>
          <w:rFonts w:hint="eastAsia" w:ascii="仿宋" w:hAnsi="仿宋" w:eastAsia="仿宋"/>
          <w:color w:val="000000"/>
          <w:sz w:val="32"/>
          <w:szCs w:val="24"/>
          <w:highlight w:val="white"/>
          <w:lang w:val="en-US"/>
        </w:rPr>
        <w:t>%，与2020年度相比，</w:t>
      </w:r>
      <w:r>
        <w:rPr>
          <w:rFonts w:hint="eastAsia" w:ascii="仿宋" w:hAnsi="仿宋" w:eastAsia="仿宋"/>
          <w:color w:val="000000"/>
          <w:sz w:val="32"/>
          <w:szCs w:val="24"/>
          <w:highlight w:val="white"/>
          <w:lang w:val="en-US" w:eastAsia="zh-CN"/>
        </w:rPr>
        <w:t>增加10.69</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增长167.82</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购置了新车</w:t>
      </w:r>
      <w:r>
        <w:rPr>
          <w:rFonts w:hint="eastAsia" w:ascii="仿宋" w:hAnsi="仿宋" w:eastAsia="仿宋"/>
          <w:color w:val="000000"/>
          <w:sz w:val="32"/>
          <w:szCs w:val="24"/>
          <w:highlight w:val="white"/>
          <w:lang w:val="en-US"/>
        </w:rPr>
        <w:t>；公务接待费支出决算为</w:t>
      </w:r>
      <w:r>
        <w:rPr>
          <w:rFonts w:hint="eastAsia" w:ascii="仿宋" w:hAnsi="仿宋" w:eastAsia="仿宋"/>
          <w:color w:val="000000"/>
          <w:sz w:val="32"/>
          <w:szCs w:val="24"/>
          <w:highlight w:val="white"/>
          <w:lang w:val="en-US" w:eastAsia="zh-CN"/>
        </w:rPr>
        <w:t>7.41</w:t>
      </w:r>
      <w:r>
        <w:rPr>
          <w:rFonts w:hint="eastAsia" w:ascii="仿宋" w:hAnsi="仿宋" w:eastAsia="仿宋"/>
          <w:color w:val="000000"/>
          <w:sz w:val="32"/>
          <w:szCs w:val="24"/>
          <w:highlight w:val="white"/>
          <w:lang w:val="en-US"/>
        </w:rPr>
        <w:t>万元，占</w:t>
      </w:r>
      <w:r>
        <w:rPr>
          <w:rFonts w:hint="eastAsia" w:ascii="仿宋" w:hAnsi="仿宋" w:eastAsia="仿宋"/>
          <w:color w:val="000000"/>
          <w:sz w:val="32"/>
          <w:szCs w:val="24"/>
          <w:highlight w:val="white"/>
          <w:lang w:val="en-US" w:eastAsia="zh-CN"/>
        </w:rPr>
        <w:t>30.27</w:t>
      </w:r>
      <w:r>
        <w:rPr>
          <w:rFonts w:hint="eastAsia" w:ascii="仿宋" w:hAnsi="仿宋" w:eastAsia="仿宋"/>
          <w:color w:val="000000"/>
          <w:sz w:val="32"/>
          <w:szCs w:val="24"/>
          <w:highlight w:val="white"/>
          <w:lang w:val="en-US"/>
        </w:rPr>
        <w:t>%，与2020年度相比，减少</w:t>
      </w:r>
      <w:r>
        <w:rPr>
          <w:rFonts w:hint="eastAsia" w:ascii="仿宋" w:hAnsi="仿宋" w:eastAsia="仿宋"/>
          <w:color w:val="000000"/>
          <w:sz w:val="32"/>
          <w:szCs w:val="24"/>
          <w:highlight w:val="white"/>
          <w:lang w:val="en-US" w:eastAsia="zh-CN"/>
        </w:rPr>
        <w:t>0.52</w:t>
      </w:r>
      <w:r>
        <w:rPr>
          <w:rFonts w:hint="eastAsia" w:ascii="仿宋" w:hAnsi="仿宋" w:eastAsia="仿宋"/>
          <w:color w:val="000000"/>
          <w:sz w:val="32"/>
          <w:szCs w:val="24"/>
          <w:highlight w:val="white"/>
          <w:lang w:val="en-US"/>
        </w:rPr>
        <w:t>万元，下降</w:t>
      </w:r>
      <w:r>
        <w:rPr>
          <w:rFonts w:hint="eastAsia" w:ascii="仿宋" w:hAnsi="仿宋" w:eastAsia="仿宋"/>
          <w:color w:val="000000"/>
          <w:sz w:val="32"/>
          <w:szCs w:val="24"/>
          <w:highlight w:val="white"/>
          <w:lang w:val="en-US" w:eastAsia="zh-CN"/>
        </w:rPr>
        <w:t>6.56</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因为疫情，外来人员减少，公务接待量相应减少</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具体情况如下：</w:t>
      </w:r>
    </w:p>
    <w:p>
      <w:pPr>
        <w:numPr>
          <w:ilvl w:val="0"/>
          <w:numId w:val="1"/>
        </w:num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因公出国（境）费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预算数。全年使用一般公共预算财政拨款支出涉及因公出国(境)团组</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个；累计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人次。</w:t>
      </w:r>
    </w:p>
    <w:p>
      <w:pPr>
        <w:numPr>
          <w:ilvl w:val="0"/>
          <w:numId w:val="0"/>
        </w:numPr>
        <w:spacing w:line="560" w:lineRule="exact"/>
        <w:ind w:firstLine="643" w:firstLineChars="200"/>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（2）公务用车购置及运行维护费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21.92</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17.07</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77.83</w:t>
      </w:r>
      <w:r>
        <w:rPr>
          <w:rFonts w:hint="eastAsia" w:ascii="仿宋" w:hAnsi="仿宋" w:eastAsia="仿宋"/>
          <w:color w:val="000000"/>
          <w:sz w:val="32"/>
          <w:szCs w:val="24"/>
          <w:highlight w:val="white"/>
          <w:lang w:val="en-US"/>
        </w:rPr>
        <w:t>%。决算数小于预算数的主要原因是</w:t>
      </w:r>
      <w:r>
        <w:rPr>
          <w:rFonts w:hint="eastAsia" w:ascii="仿宋" w:hAnsi="仿宋" w:eastAsia="仿宋"/>
          <w:color w:val="000000"/>
          <w:sz w:val="32"/>
          <w:szCs w:val="24"/>
          <w:highlight w:val="white"/>
          <w:lang w:val="en-US" w:eastAsia="zh-CN"/>
        </w:rPr>
        <w:t>购置了新车，车辆运行维护经费降低</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公务用车购置</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13.04</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13.04</w:t>
      </w:r>
      <w:r>
        <w:rPr>
          <w:rFonts w:hint="eastAsia" w:ascii="仿宋" w:hAnsi="仿宋" w:eastAsia="仿宋"/>
          <w:color w:val="000000"/>
          <w:sz w:val="32"/>
          <w:szCs w:val="24"/>
          <w:highlight w:val="white"/>
          <w:lang w:val="en-US"/>
        </w:rPr>
        <w:t>万元（含购置税等附加费用），完成预算的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w:t>
      </w:r>
      <w:r>
        <w:rPr>
          <w:rFonts w:hint="eastAsia" w:ascii="仿宋" w:hAnsi="仿宋" w:eastAsia="仿宋"/>
          <w:color w:val="000000"/>
          <w:sz w:val="32"/>
          <w:szCs w:val="24"/>
          <w:highlight w:val="white"/>
          <w:lang w:val="en-US"/>
        </w:rPr>
        <w:t>于预算数。主要用于经批准购置的</w:t>
      </w:r>
      <w:r>
        <w:rPr>
          <w:rFonts w:hint="eastAsia" w:ascii="仿宋" w:hAnsi="仿宋" w:eastAsia="仿宋"/>
          <w:color w:val="000000"/>
          <w:sz w:val="32"/>
          <w:szCs w:val="24"/>
          <w:highlight w:val="white"/>
          <w:lang w:val="en-US" w:eastAsia="zh-CN"/>
        </w:rPr>
        <w:t>1</w:t>
      </w:r>
      <w:r>
        <w:rPr>
          <w:rFonts w:hint="eastAsia" w:ascii="仿宋" w:hAnsi="仿宋" w:eastAsia="仿宋"/>
          <w:color w:val="000000"/>
          <w:sz w:val="32"/>
          <w:szCs w:val="24"/>
          <w:highlight w:val="white"/>
          <w:lang w:val="en-US"/>
        </w:rPr>
        <w:t>辆公务用车；</w:t>
      </w:r>
    </w:p>
    <w:p>
      <w:pPr>
        <w:numPr>
          <w:ilvl w:val="0"/>
          <w:numId w:val="0"/>
        </w:numPr>
        <w:spacing w:line="560" w:lineRule="exact"/>
        <w:ind w:firstLine="643" w:firstLineChars="200"/>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公务用车运行维护费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8.88</w:t>
      </w:r>
      <w:r>
        <w:rPr>
          <w:rFonts w:hint="eastAsia" w:ascii="仿宋" w:hAnsi="仿宋" w:eastAsia="仿宋"/>
          <w:color w:val="000000"/>
          <w:sz w:val="32"/>
          <w:szCs w:val="24"/>
          <w:highlight w:val="white"/>
          <w:lang w:val="en-US"/>
        </w:rPr>
        <w:t>万元，支出</w:t>
      </w:r>
      <w:r>
        <w:rPr>
          <w:rFonts w:hint="eastAsia" w:ascii="仿宋" w:hAnsi="仿宋" w:eastAsia="仿宋"/>
          <w:color w:val="000000"/>
          <w:sz w:val="32"/>
          <w:szCs w:val="24"/>
          <w:highlight w:val="white"/>
          <w:lang w:val="en-US" w:eastAsia="zh-CN"/>
        </w:rPr>
        <w:t>4.03</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45.27</w:t>
      </w:r>
      <w:r>
        <w:rPr>
          <w:rFonts w:hint="eastAsia" w:ascii="仿宋" w:hAnsi="仿宋" w:eastAsia="仿宋"/>
          <w:color w:val="000000"/>
          <w:sz w:val="32"/>
          <w:szCs w:val="24"/>
          <w:highlight w:val="white"/>
          <w:lang w:val="en-US"/>
        </w:rPr>
        <w:t>%。决算数小于预算数的主要原因是</w:t>
      </w:r>
      <w:r>
        <w:rPr>
          <w:rFonts w:hint="eastAsia" w:ascii="仿宋" w:hAnsi="仿宋" w:eastAsia="仿宋"/>
          <w:color w:val="000000"/>
          <w:sz w:val="32"/>
          <w:szCs w:val="24"/>
          <w:highlight w:val="white"/>
          <w:lang w:val="en-US" w:eastAsia="zh-CN"/>
        </w:rPr>
        <w:t>购置了新车，车辆运行维护经费降低</w:t>
      </w:r>
      <w:r>
        <w:rPr>
          <w:rFonts w:hint="eastAsia" w:ascii="仿宋" w:hAnsi="仿宋" w:eastAsia="仿宋"/>
          <w:color w:val="000000"/>
          <w:sz w:val="32"/>
          <w:szCs w:val="24"/>
          <w:highlight w:val="white"/>
          <w:lang w:val="en-US"/>
        </w:rPr>
        <w:t>。主要用于</w:t>
      </w:r>
      <w:r>
        <w:rPr>
          <w:rFonts w:hint="eastAsia" w:ascii="仿宋" w:hAnsi="仿宋" w:eastAsia="仿宋"/>
          <w:color w:val="000000"/>
          <w:sz w:val="32"/>
          <w:szCs w:val="24"/>
          <w:highlight w:val="white"/>
          <w:lang w:val="en-US" w:eastAsia="zh-CN"/>
        </w:rPr>
        <w:t>文化、文物执法</w:t>
      </w:r>
      <w:r>
        <w:rPr>
          <w:rFonts w:hint="eastAsia" w:ascii="仿宋" w:hAnsi="仿宋" w:eastAsia="仿宋"/>
          <w:color w:val="000000"/>
          <w:sz w:val="32"/>
          <w:szCs w:val="24"/>
          <w:highlight w:val="white"/>
          <w:lang w:val="en-US"/>
        </w:rPr>
        <w:t>等所需的公务用车燃料费、维修费、过路过桥费、保险费等支出；2021年度，本级及所属单位开支一般公共预算财政拨款的公务用车保有量为</w:t>
      </w:r>
      <w:r>
        <w:rPr>
          <w:rFonts w:hint="eastAsia" w:ascii="仿宋" w:hAnsi="仿宋" w:eastAsia="仿宋"/>
          <w:color w:val="000000"/>
          <w:sz w:val="32"/>
          <w:szCs w:val="24"/>
          <w:highlight w:val="white"/>
          <w:lang w:val="en-US" w:eastAsia="zh-CN"/>
        </w:rPr>
        <w:t>2</w:t>
      </w:r>
      <w:r>
        <w:rPr>
          <w:rFonts w:hint="eastAsia" w:ascii="仿宋" w:hAnsi="仿宋" w:eastAsia="仿宋"/>
          <w:color w:val="000000"/>
          <w:sz w:val="32"/>
          <w:szCs w:val="24"/>
          <w:highlight w:val="white"/>
          <w:lang w:val="en-US"/>
        </w:rPr>
        <w:t>辆。</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（3）公务接待费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9</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7.41</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82.33</w:t>
      </w:r>
      <w:r>
        <w:rPr>
          <w:rFonts w:hint="eastAsia" w:ascii="仿宋" w:hAnsi="仿宋" w:eastAsia="仿宋"/>
          <w:color w:val="000000"/>
          <w:sz w:val="32"/>
          <w:szCs w:val="24"/>
          <w:highlight w:val="white"/>
          <w:lang w:val="en-US"/>
        </w:rPr>
        <w:t>%。国内公务接待</w:t>
      </w:r>
      <w:r>
        <w:rPr>
          <w:rFonts w:hint="eastAsia" w:ascii="仿宋" w:hAnsi="仿宋" w:eastAsia="仿宋"/>
          <w:color w:val="000000"/>
          <w:sz w:val="32"/>
          <w:szCs w:val="24"/>
          <w:highlight w:val="white"/>
          <w:lang w:val="en-US" w:eastAsia="zh-CN"/>
        </w:rPr>
        <w:t>73</w:t>
      </w:r>
      <w:r>
        <w:rPr>
          <w:rFonts w:hint="eastAsia" w:ascii="仿宋" w:hAnsi="仿宋" w:eastAsia="仿宋"/>
          <w:color w:val="000000"/>
          <w:sz w:val="32"/>
          <w:szCs w:val="24"/>
          <w:highlight w:val="white"/>
          <w:lang w:val="en-US"/>
        </w:rPr>
        <w:t>批次，累计</w:t>
      </w:r>
      <w:r>
        <w:rPr>
          <w:rFonts w:hint="eastAsia" w:ascii="仿宋" w:hAnsi="仿宋" w:eastAsia="仿宋"/>
          <w:color w:val="000000"/>
          <w:sz w:val="32"/>
          <w:szCs w:val="24"/>
          <w:highlight w:val="white"/>
          <w:lang w:val="en-US" w:eastAsia="zh-CN"/>
        </w:rPr>
        <w:t>785</w:t>
      </w:r>
      <w:r>
        <w:rPr>
          <w:rFonts w:hint="eastAsia" w:ascii="仿宋" w:hAnsi="仿宋" w:eastAsia="仿宋"/>
          <w:color w:val="000000"/>
          <w:sz w:val="32"/>
          <w:szCs w:val="24"/>
          <w:highlight w:val="white"/>
          <w:lang w:val="en-US"/>
        </w:rPr>
        <w:t>人次。主要用于接待</w:t>
      </w:r>
      <w:r>
        <w:rPr>
          <w:rFonts w:hint="eastAsia" w:ascii="仿宋" w:hAnsi="仿宋" w:eastAsia="仿宋"/>
          <w:color w:val="000000"/>
          <w:sz w:val="32"/>
          <w:szCs w:val="24"/>
          <w:highlight w:val="white"/>
          <w:lang w:val="en-US" w:eastAsia="zh-CN"/>
        </w:rPr>
        <w:t>县外相关业务单位公务来往方面</w:t>
      </w:r>
      <w:r>
        <w:rPr>
          <w:rFonts w:hint="eastAsia" w:ascii="仿宋" w:hAnsi="仿宋" w:eastAsia="仿宋"/>
          <w:color w:val="000000"/>
          <w:sz w:val="32"/>
          <w:szCs w:val="24"/>
          <w:highlight w:val="white"/>
          <w:lang w:val="en-US"/>
        </w:rPr>
        <w:t>支出。决算数小于预算数的主要原因是</w:t>
      </w:r>
      <w:r>
        <w:rPr>
          <w:rFonts w:hint="eastAsia" w:ascii="仿宋" w:hAnsi="仿宋" w:eastAsia="仿宋"/>
          <w:color w:val="000000"/>
          <w:sz w:val="32"/>
          <w:szCs w:val="24"/>
          <w:highlight w:val="white"/>
          <w:lang w:val="en-US" w:eastAsia="zh-CN"/>
        </w:rPr>
        <w:t>因为疫情，外来人员减少，公务接待量相应减少</w:t>
      </w:r>
      <w:r>
        <w:rPr>
          <w:rFonts w:hint="eastAsia" w:ascii="仿宋" w:hAnsi="仿宋" w:eastAsia="仿宋"/>
          <w:color w:val="000000"/>
          <w:sz w:val="32"/>
          <w:szCs w:val="24"/>
          <w:highlight w:val="white"/>
          <w:lang w:val="en-US"/>
        </w:rPr>
        <w:t>。其中：</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外事接待</w:t>
      </w:r>
      <w:r>
        <w:rPr>
          <w:rFonts w:hint="eastAsia" w:ascii="仿宋" w:hAnsi="仿宋" w:eastAsia="仿宋"/>
          <w:color w:val="000000"/>
          <w:sz w:val="32"/>
          <w:szCs w:val="24"/>
          <w:highlight w:val="white"/>
          <w:lang w:val="en-US"/>
        </w:rPr>
        <w:t>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万元，接待</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批次，累计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人次。</w:t>
      </w:r>
    </w:p>
    <w:p>
      <w:pPr>
        <w:spacing w:line="560" w:lineRule="exact"/>
        <w:ind w:firstLine="594"/>
        <w:rPr>
          <w:rFonts w:hint="default" w:eastAsia="Times New Roman"/>
          <w:color w:val="000000"/>
          <w:sz w:val="32"/>
          <w:szCs w:val="24"/>
          <w:highlight w:val="white"/>
          <w:lang w:val="en-US"/>
        </w:rPr>
      </w:pPr>
      <w:r>
        <w:rPr>
          <w:rFonts w:hint="eastAsia" w:ascii="仿宋" w:hAnsi="仿宋" w:eastAsia="仿宋"/>
          <w:b/>
          <w:color w:val="000000"/>
          <w:sz w:val="32"/>
          <w:szCs w:val="24"/>
          <w:highlight w:val="white"/>
          <w:lang w:val="en-US"/>
        </w:rPr>
        <w:t>其他国内公务接待</w:t>
      </w:r>
      <w:r>
        <w:rPr>
          <w:rFonts w:hint="eastAsia" w:ascii="仿宋" w:hAnsi="仿宋" w:eastAsia="仿宋"/>
          <w:color w:val="000000"/>
          <w:sz w:val="32"/>
          <w:szCs w:val="24"/>
          <w:highlight w:val="white"/>
          <w:lang w:val="en-US"/>
        </w:rPr>
        <w:t>支出</w:t>
      </w:r>
      <w:r>
        <w:rPr>
          <w:rFonts w:hint="eastAsia" w:ascii="仿宋" w:hAnsi="仿宋" w:eastAsia="仿宋"/>
          <w:color w:val="000000"/>
          <w:sz w:val="32"/>
          <w:szCs w:val="24"/>
          <w:highlight w:val="white"/>
          <w:lang w:val="en-US" w:eastAsia="zh-CN"/>
        </w:rPr>
        <w:t>7.41</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主要用于接待县外相关业务交流，</w:t>
      </w:r>
      <w:r>
        <w:rPr>
          <w:rFonts w:hint="eastAsia" w:ascii="仿宋" w:hAnsi="仿宋" w:eastAsia="仿宋"/>
          <w:color w:val="000000"/>
          <w:sz w:val="32"/>
          <w:szCs w:val="24"/>
          <w:highlight w:val="white"/>
          <w:lang w:val="en-US"/>
        </w:rPr>
        <w:t>接待</w:t>
      </w:r>
      <w:r>
        <w:rPr>
          <w:rFonts w:hint="eastAsia" w:ascii="仿宋" w:hAnsi="仿宋" w:eastAsia="仿宋"/>
          <w:color w:val="000000"/>
          <w:sz w:val="32"/>
          <w:szCs w:val="24"/>
          <w:highlight w:val="white"/>
          <w:lang w:val="en-US" w:eastAsia="zh-CN"/>
        </w:rPr>
        <w:t>73</w:t>
      </w:r>
      <w:r>
        <w:rPr>
          <w:rFonts w:hint="eastAsia" w:ascii="仿宋" w:hAnsi="仿宋" w:eastAsia="仿宋"/>
          <w:color w:val="000000"/>
          <w:sz w:val="32"/>
          <w:szCs w:val="24"/>
          <w:highlight w:val="white"/>
          <w:lang w:val="en-US"/>
        </w:rPr>
        <w:t>批次，累计</w:t>
      </w:r>
      <w:r>
        <w:rPr>
          <w:rFonts w:hint="eastAsia" w:ascii="仿宋" w:hAnsi="仿宋" w:eastAsia="仿宋"/>
          <w:color w:val="000000"/>
          <w:sz w:val="32"/>
          <w:szCs w:val="24"/>
          <w:highlight w:val="white"/>
          <w:lang w:val="en-US" w:eastAsia="zh-CN"/>
        </w:rPr>
        <w:t>785</w:t>
      </w:r>
      <w:r>
        <w:rPr>
          <w:rFonts w:hint="eastAsia" w:ascii="仿宋" w:hAnsi="仿宋" w:eastAsia="仿宋"/>
          <w:color w:val="000000"/>
          <w:sz w:val="32"/>
          <w:szCs w:val="24"/>
          <w:highlight w:val="white"/>
          <w:lang w:val="en-US"/>
        </w:rPr>
        <w:t>人次。</w:t>
      </w:r>
    </w:p>
    <w:p>
      <w:pPr>
        <w:pStyle w:val="3"/>
        <w:spacing w:line="560" w:lineRule="exact"/>
        <w:rPr>
          <w:rFonts w:hint="eastAsia"/>
          <w:sz w:val="32"/>
          <w:szCs w:val="24"/>
          <w:lang w:val="en-US"/>
        </w:rPr>
      </w:pPr>
      <w:bookmarkStart w:id="11" w:name="_Toc28261"/>
      <w:r>
        <w:rPr>
          <w:rFonts w:hint="eastAsia"/>
          <w:sz w:val="32"/>
          <w:szCs w:val="24"/>
          <w:lang w:val="en-US"/>
        </w:rPr>
        <w:t>（十）机关运行经费支出说明</w:t>
      </w:r>
      <w:bookmarkEnd w:id="11"/>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2021年度机关运行经费年初预算数为</w:t>
      </w:r>
      <w:r>
        <w:rPr>
          <w:rFonts w:hint="eastAsia" w:ascii="仿宋" w:hAnsi="仿宋" w:eastAsia="仿宋"/>
          <w:color w:val="000000"/>
          <w:sz w:val="32"/>
          <w:szCs w:val="24"/>
          <w:highlight w:val="white"/>
          <w:lang w:val="en-US" w:eastAsia="zh-CN"/>
        </w:rPr>
        <w:t>113.83</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130.01</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114.21</w:t>
      </w:r>
      <w:r>
        <w:rPr>
          <w:rFonts w:hint="eastAsia" w:ascii="仿宋" w:hAnsi="仿宋" w:eastAsia="仿宋"/>
          <w:color w:val="000000"/>
          <w:sz w:val="32"/>
          <w:szCs w:val="24"/>
          <w:highlight w:val="white"/>
          <w:lang w:val="en-US"/>
        </w:rPr>
        <w:t>%，决算数大于预算数的主要原因</w:t>
      </w:r>
      <w:r>
        <w:rPr>
          <w:rFonts w:hint="eastAsia" w:ascii="仿宋" w:hAnsi="仿宋" w:eastAsia="仿宋"/>
          <w:color w:val="000000"/>
          <w:sz w:val="32"/>
          <w:szCs w:val="24"/>
          <w:highlight w:val="white"/>
          <w:lang w:val="en-US" w:eastAsia="zh-CN"/>
        </w:rPr>
        <w:t>追加预算购置了一辆执法用车</w:t>
      </w:r>
      <w:r>
        <w:rPr>
          <w:rFonts w:hint="eastAsia" w:ascii="仿宋" w:hAnsi="仿宋" w:eastAsia="仿宋"/>
          <w:color w:val="000000"/>
          <w:sz w:val="32"/>
          <w:szCs w:val="24"/>
          <w:highlight w:val="white"/>
          <w:lang w:val="en-US"/>
        </w:rPr>
        <w:t>；比2020年度增加</w:t>
      </w:r>
      <w:r>
        <w:rPr>
          <w:rFonts w:hint="eastAsia" w:ascii="仿宋" w:hAnsi="仿宋" w:eastAsia="仿宋"/>
          <w:color w:val="000000"/>
          <w:sz w:val="32"/>
          <w:szCs w:val="24"/>
          <w:highlight w:val="white"/>
          <w:lang w:val="en-US" w:eastAsia="zh-CN"/>
        </w:rPr>
        <w:t>9.48</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8.54</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本年追加预算，购置了一辆执法用车</w:t>
      </w:r>
      <w:r>
        <w:rPr>
          <w:rFonts w:hint="eastAsia" w:ascii="仿宋" w:hAnsi="仿宋" w:eastAsia="仿宋"/>
          <w:color w:val="000000"/>
          <w:sz w:val="32"/>
          <w:szCs w:val="24"/>
          <w:highlight w:val="white"/>
          <w:lang w:val="en-US"/>
        </w:rPr>
        <w:t>。</w:t>
      </w:r>
    </w:p>
    <w:p>
      <w:pPr>
        <w:pStyle w:val="3"/>
        <w:spacing w:line="560" w:lineRule="exact"/>
        <w:rPr>
          <w:rFonts w:hint="eastAsia"/>
          <w:sz w:val="32"/>
          <w:szCs w:val="24"/>
          <w:lang w:val="en-US"/>
        </w:rPr>
      </w:pPr>
      <w:bookmarkStart w:id="12" w:name="_Toc26781"/>
      <w:r>
        <w:rPr>
          <w:rFonts w:hint="eastAsia"/>
          <w:sz w:val="32"/>
          <w:szCs w:val="24"/>
          <w:lang w:val="en-US"/>
        </w:rPr>
        <w:t>（十一）政府采购支出说明</w:t>
      </w:r>
      <w:bookmarkEnd w:id="12"/>
    </w:p>
    <w:p>
      <w:pPr>
        <w:spacing w:line="560" w:lineRule="exact"/>
        <w:ind w:firstLine="594"/>
        <w:rPr>
          <w:rFonts w:hint="eastAsia" w:ascii="仿宋" w:hAnsi="仿宋" w:eastAsia="仿宋"/>
          <w:color w:val="auto"/>
          <w:sz w:val="32"/>
          <w:szCs w:val="24"/>
          <w:highlight w:val="white"/>
          <w:lang w:val="en-US"/>
        </w:rPr>
      </w:pPr>
      <w:r>
        <w:rPr>
          <w:rFonts w:hint="eastAsia" w:ascii="仿宋" w:hAnsi="仿宋" w:eastAsia="仿宋"/>
          <w:color w:val="000000"/>
          <w:sz w:val="32"/>
          <w:szCs w:val="24"/>
          <w:highlight w:val="white"/>
          <w:lang w:val="en-US"/>
        </w:rPr>
        <w:t>2021年度政府采购支出总额</w:t>
      </w:r>
      <w:r>
        <w:rPr>
          <w:rFonts w:hint="eastAsia" w:ascii="仿宋" w:hAnsi="仿宋" w:eastAsia="仿宋"/>
          <w:color w:val="000000"/>
          <w:sz w:val="32"/>
          <w:szCs w:val="24"/>
          <w:highlight w:val="white"/>
          <w:lang w:val="en-US" w:eastAsia="zh-CN"/>
        </w:rPr>
        <w:t>867.98</w:t>
      </w:r>
      <w:r>
        <w:rPr>
          <w:rFonts w:hint="eastAsia" w:ascii="仿宋" w:hAnsi="仿宋" w:eastAsia="仿宋"/>
          <w:color w:val="000000"/>
          <w:sz w:val="32"/>
          <w:szCs w:val="24"/>
          <w:highlight w:val="white"/>
          <w:lang w:val="en-US"/>
        </w:rPr>
        <w:t>万元，其中：政府采购货物支出</w:t>
      </w:r>
      <w:r>
        <w:rPr>
          <w:rFonts w:hint="eastAsia" w:ascii="仿宋" w:hAnsi="仿宋" w:eastAsia="仿宋"/>
          <w:color w:val="000000"/>
          <w:sz w:val="32"/>
          <w:szCs w:val="24"/>
          <w:highlight w:val="white"/>
          <w:lang w:val="en-US" w:eastAsia="zh-CN"/>
        </w:rPr>
        <w:t>11.98</w:t>
      </w:r>
      <w:r>
        <w:rPr>
          <w:rFonts w:hint="eastAsia" w:ascii="仿宋" w:hAnsi="仿宋" w:eastAsia="仿宋"/>
          <w:color w:val="000000"/>
          <w:sz w:val="32"/>
          <w:szCs w:val="24"/>
          <w:highlight w:val="white"/>
          <w:lang w:val="en-US"/>
        </w:rPr>
        <w:t>万元、政府采购工程支出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万元、政府采购服务支出</w:t>
      </w:r>
      <w:r>
        <w:rPr>
          <w:rFonts w:hint="eastAsia" w:ascii="仿宋" w:hAnsi="仿宋" w:eastAsia="仿宋"/>
          <w:color w:val="000000"/>
          <w:sz w:val="32"/>
          <w:szCs w:val="24"/>
          <w:highlight w:val="white"/>
          <w:lang w:val="en-US" w:eastAsia="zh-CN"/>
        </w:rPr>
        <w:t>856.00</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授予中小企业合同金额</w:t>
      </w:r>
      <w:r>
        <w:rPr>
          <w:rFonts w:hint="eastAsia" w:ascii="仿宋" w:hAnsi="仿宋" w:eastAsia="仿宋"/>
          <w:color w:val="000000"/>
          <w:sz w:val="32"/>
          <w:szCs w:val="24"/>
          <w:highlight w:val="white"/>
          <w:lang w:val="en-US" w:eastAsia="zh-CN"/>
        </w:rPr>
        <w:t>867.98</w:t>
      </w:r>
      <w:r>
        <w:rPr>
          <w:rFonts w:hint="eastAsia" w:ascii="仿宋" w:hAnsi="仿宋" w:eastAsia="仿宋"/>
          <w:color w:val="auto"/>
          <w:sz w:val="32"/>
          <w:szCs w:val="24"/>
          <w:highlight w:val="white"/>
          <w:lang w:val="en-US"/>
        </w:rPr>
        <w:t>万元，占政府采购支出总额的</w:t>
      </w:r>
      <w:r>
        <w:rPr>
          <w:rFonts w:hint="eastAsia" w:ascii="仿宋" w:hAnsi="仿宋" w:eastAsia="仿宋"/>
          <w:color w:val="000000"/>
          <w:sz w:val="32"/>
          <w:szCs w:val="24"/>
          <w:highlight w:val="white"/>
          <w:lang w:val="en-US" w:eastAsia="zh-CN"/>
        </w:rPr>
        <w:t>100</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其中，授予小微企业合同金额</w:t>
      </w:r>
      <w:r>
        <w:rPr>
          <w:rFonts w:hint="eastAsia" w:ascii="仿宋" w:hAnsi="仿宋" w:eastAsia="仿宋"/>
          <w:color w:val="000000"/>
          <w:sz w:val="32"/>
          <w:szCs w:val="24"/>
          <w:highlight w:val="white"/>
          <w:lang w:val="en-US" w:eastAsia="zh-CN"/>
        </w:rPr>
        <w:t>867.98</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占授予中小企业合同金额</w:t>
      </w:r>
      <w:r>
        <w:rPr>
          <w:rFonts w:hint="eastAsia" w:ascii="仿宋" w:hAnsi="仿宋" w:eastAsia="仿宋"/>
          <w:color w:val="000000"/>
          <w:sz w:val="32"/>
          <w:szCs w:val="24"/>
          <w:highlight w:val="white"/>
          <w:lang w:val="en-US"/>
        </w:rPr>
        <w:t>的</w:t>
      </w:r>
      <w:r>
        <w:rPr>
          <w:rFonts w:hint="eastAsia" w:ascii="仿宋" w:hAnsi="仿宋" w:eastAsia="仿宋"/>
          <w:color w:val="000000"/>
          <w:sz w:val="32"/>
          <w:szCs w:val="24"/>
          <w:highlight w:val="white"/>
          <w:lang w:val="en-US" w:eastAsia="zh-CN"/>
        </w:rPr>
        <w:t>100</w:t>
      </w:r>
      <w:r>
        <w:rPr>
          <w:rFonts w:hint="eastAsia" w:ascii="仿宋" w:hAnsi="仿宋" w:eastAsia="仿宋"/>
          <w:color w:val="auto"/>
          <w:sz w:val="32"/>
          <w:szCs w:val="24"/>
          <w:highlight w:val="white"/>
          <w:lang w:val="en-US"/>
        </w:rPr>
        <w:t>%；货物采购授予中小企业合同金额占货物支出金额的</w:t>
      </w:r>
      <w:r>
        <w:rPr>
          <w:rFonts w:hint="eastAsia" w:ascii="仿宋" w:hAnsi="仿宋" w:eastAsia="仿宋"/>
          <w:color w:val="000000"/>
          <w:sz w:val="32"/>
          <w:szCs w:val="24"/>
          <w:highlight w:val="white"/>
          <w:lang w:val="en-US" w:eastAsia="zh-CN"/>
        </w:rPr>
        <w:t>100</w:t>
      </w:r>
      <w:r>
        <w:rPr>
          <w:rFonts w:hint="eastAsia" w:ascii="仿宋" w:hAnsi="仿宋" w:eastAsia="仿宋"/>
          <w:color w:val="auto"/>
          <w:sz w:val="32"/>
          <w:szCs w:val="24"/>
          <w:highlight w:val="white"/>
          <w:lang w:val="en-US"/>
        </w:rPr>
        <w:t>%，服务采购授予中小企业合同金额占服务支出金额的</w:t>
      </w:r>
      <w:r>
        <w:rPr>
          <w:rFonts w:hint="eastAsia" w:ascii="仿宋" w:hAnsi="仿宋" w:eastAsia="仿宋"/>
          <w:color w:val="000000"/>
          <w:sz w:val="32"/>
          <w:szCs w:val="24"/>
          <w:highlight w:val="white"/>
          <w:lang w:val="en-US" w:eastAsia="zh-CN"/>
        </w:rPr>
        <w:t>100</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w:t>
      </w:r>
    </w:p>
    <w:p>
      <w:pPr>
        <w:pStyle w:val="3"/>
        <w:spacing w:line="560" w:lineRule="exact"/>
        <w:rPr>
          <w:rFonts w:hint="eastAsia"/>
          <w:sz w:val="32"/>
          <w:szCs w:val="24"/>
          <w:lang w:val="en-US"/>
        </w:rPr>
      </w:pPr>
      <w:bookmarkStart w:id="13" w:name="_Toc15035"/>
      <w:r>
        <w:rPr>
          <w:rFonts w:hint="eastAsia"/>
          <w:sz w:val="32"/>
          <w:szCs w:val="24"/>
          <w:lang w:val="en-US"/>
        </w:rPr>
        <w:t>（十二）国有资产占有情况说明</w:t>
      </w:r>
      <w:bookmarkEnd w:id="13"/>
    </w:p>
    <w:p>
      <w:pPr>
        <w:spacing w:line="560" w:lineRule="exact"/>
        <w:ind w:firstLine="594"/>
        <w:rPr>
          <w:rFonts w:hint="eastAsia" w:ascii="楷体" w:hAnsi="楷体" w:eastAsia="楷体"/>
          <w:b/>
          <w:color w:val="000000"/>
          <w:sz w:val="32"/>
          <w:szCs w:val="24"/>
          <w:highlight w:val="white"/>
          <w:lang w:val="en-US"/>
        </w:rPr>
      </w:pPr>
      <w:r>
        <w:rPr>
          <w:rFonts w:hint="eastAsia" w:ascii="仿宋" w:hAnsi="仿宋" w:eastAsia="仿宋"/>
          <w:color w:val="000000"/>
          <w:sz w:val="32"/>
          <w:szCs w:val="24"/>
          <w:highlight w:val="white"/>
          <w:lang w:val="en-US"/>
        </w:rPr>
        <w:t>截至2021年12月31日，</w:t>
      </w:r>
      <w:r>
        <w:rPr>
          <w:rFonts w:hint="eastAsia" w:ascii="仿宋" w:hAnsi="仿宋" w:eastAsia="仿宋"/>
          <w:color w:val="000000"/>
          <w:sz w:val="32"/>
          <w:szCs w:val="24"/>
          <w:highlight w:val="white"/>
          <w:lang w:val="en-US" w:eastAsia="zh-CN"/>
        </w:rPr>
        <w:t>局</w:t>
      </w:r>
      <w:r>
        <w:rPr>
          <w:rFonts w:hint="eastAsia" w:ascii="仿宋" w:hAnsi="仿宋" w:eastAsia="仿宋"/>
          <w:color w:val="000000"/>
          <w:sz w:val="32"/>
          <w:szCs w:val="24"/>
          <w:highlight w:val="white"/>
          <w:lang w:val="en-US"/>
        </w:rPr>
        <w:t>本级及所属各单位共有车辆</w:t>
      </w:r>
      <w:r>
        <w:rPr>
          <w:rFonts w:hint="eastAsia" w:ascii="仿宋" w:hAnsi="仿宋" w:eastAsia="仿宋"/>
          <w:color w:val="000000"/>
          <w:sz w:val="32"/>
          <w:szCs w:val="24"/>
          <w:highlight w:val="white"/>
          <w:lang w:val="en-US" w:eastAsia="zh-CN"/>
        </w:rPr>
        <w:t>2</w:t>
      </w:r>
      <w:r>
        <w:rPr>
          <w:rFonts w:hint="eastAsia" w:ascii="仿宋" w:hAnsi="仿宋" w:eastAsia="仿宋"/>
          <w:color w:val="000000"/>
          <w:sz w:val="32"/>
          <w:szCs w:val="24"/>
          <w:highlight w:val="white"/>
          <w:lang w:val="en-US"/>
        </w:rPr>
        <w:t>辆，其中，副部（省）级及以上领导用车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辆、主要领导干部用车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辆、机要通信用车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辆、应急保障用车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辆、执法执勤用车</w:t>
      </w:r>
      <w:r>
        <w:rPr>
          <w:rFonts w:hint="eastAsia" w:ascii="仿宋" w:hAnsi="仿宋" w:eastAsia="仿宋"/>
          <w:color w:val="000000"/>
          <w:sz w:val="32"/>
          <w:szCs w:val="24"/>
          <w:highlight w:val="white"/>
          <w:lang w:val="en-US" w:eastAsia="zh-CN"/>
        </w:rPr>
        <w:t>2</w:t>
      </w:r>
      <w:r>
        <w:rPr>
          <w:rFonts w:hint="eastAsia" w:ascii="仿宋" w:hAnsi="仿宋" w:eastAsia="仿宋"/>
          <w:color w:val="000000"/>
          <w:sz w:val="32"/>
          <w:szCs w:val="24"/>
          <w:highlight w:val="white"/>
          <w:lang w:val="en-US"/>
        </w:rPr>
        <w:t>辆、特种专业技术用车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辆、离退休干部用车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辆、其他用车</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辆；单价50万元以上通用设备</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台（套），单价100万元以上专用设备</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台（套）。</w:t>
      </w:r>
      <w:r>
        <w:rPr>
          <w:rFonts w:hint="eastAsia" w:ascii="仿宋_GB2312" w:hAnsi="仿宋_GB2312" w:eastAsia="仿宋_GB2312"/>
          <w:color w:val="000000"/>
          <w:sz w:val="32"/>
          <w:szCs w:val="24"/>
          <w:highlight w:val="white"/>
          <w:lang w:val="en-US"/>
        </w:rPr>
        <w:t xml:space="preserve"> </w:t>
      </w:r>
    </w:p>
    <w:p>
      <w:pPr>
        <w:pStyle w:val="3"/>
        <w:spacing w:line="560" w:lineRule="exact"/>
        <w:rPr>
          <w:rFonts w:hint="eastAsia"/>
          <w:sz w:val="32"/>
          <w:szCs w:val="24"/>
          <w:lang w:val="en-US"/>
        </w:rPr>
      </w:pPr>
      <w:bookmarkStart w:id="14" w:name="_Toc26750"/>
      <w:r>
        <w:rPr>
          <w:rFonts w:hint="eastAsia"/>
          <w:sz w:val="32"/>
          <w:szCs w:val="24"/>
          <w:lang w:val="en-US"/>
        </w:rPr>
        <w:t>（十三）预算绩效情况说明</w:t>
      </w:r>
      <w:bookmarkEnd w:id="14"/>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1.预算绩效管理工作开展情况。</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根据预算绩效管理要求，</w:t>
      </w:r>
      <w:r>
        <w:rPr>
          <w:rFonts w:hint="eastAsia" w:ascii="仿宋" w:hAnsi="仿宋" w:eastAsia="仿宋"/>
          <w:color w:val="000000"/>
          <w:sz w:val="32"/>
          <w:szCs w:val="24"/>
          <w:highlight w:val="white"/>
          <w:lang w:val="en-US" w:eastAsia="zh-CN"/>
        </w:rPr>
        <w:t>局</w:t>
      </w:r>
      <w:r>
        <w:rPr>
          <w:rFonts w:hint="eastAsia" w:ascii="仿宋" w:hAnsi="仿宋" w:eastAsia="仿宋"/>
          <w:color w:val="000000"/>
          <w:sz w:val="32"/>
          <w:szCs w:val="24"/>
          <w:highlight w:val="white"/>
          <w:lang w:val="en-US"/>
        </w:rPr>
        <w:t>组织对2021年度一般公共预算项目支出全面开展绩效自评，其中，一级项目</w:t>
      </w:r>
      <w:r>
        <w:rPr>
          <w:rFonts w:hint="eastAsia" w:ascii="仿宋" w:hAnsi="仿宋" w:eastAsia="仿宋"/>
          <w:color w:val="000000"/>
          <w:sz w:val="32"/>
          <w:szCs w:val="24"/>
          <w:highlight w:val="white"/>
          <w:lang w:val="en-US" w:eastAsia="zh-CN"/>
        </w:rPr>
        <w:t>5</w:t>
      </w:r>
      <w:r>
        <w:rPr>
          <w:rFonts w:hint="eastAsia" w:ascii="仿宋" w:hAnsi="仿宋" w:eastAsia="仿宋"/>
          <w:color w:val="000000"/>
          <w:sz w:val="32"/>
          <w:szCs w:val="24"/>
          <w:highlight w:val="white"/>
          <w:lang w:val="en-US"/>
        </w:rPr>
        <w:t>个，二级项目</w:t>
      </w:r>
      <w:r>
        <w:rPr>
          <w:rFonts w:hint="eastAsia" w:ascii="仿宋" w:hAnsi="仿宋" w:eastAsia="仿宋"/>
          <w:color w:val="000000"/>
          <w:sz w:val="32"/>
          <w:szCs w:val="24"/>
          <w:highlight w:val="white"/>
          <w:lang w:val="en-US" w:eastAsia="zh-CN"/>
        </w:rPr>
        <w:t>14</w:t>
      </w:r>
      <w:r>
        <w:rPr>
          <w:rFonts w:hint="eastAsia" w:ascii="仿宋" w:hAnsi="仿宋" w:eastAsia="仿宋"/>
          <w:color w:val="000000"/>
          <w:sz w:val="32"/>
          <w:szCs w:val="24"/>
          <w:highlight w:val="white"/>
          <w:lang w:val="en-US"/>
        </w:rPr>
        <w:t>个，共涉及资金</w:t>
      </w:r>
      <w:r>
        <w:rPr>
          <w:rFonts w:hint="eastAsia" w:ascii="仿宋" w:hAnsi="仿宋" w:eastAsia="仿宋"/>
          <w:color w:val="000000"/>
          <w:sz w:val="32"/>
          <w:szCs w:val="24"/>
          <w:highlight w:val="white"/>
          <w:lang w:val="en-US" w:eastAsia="zh-CN"/>
        </w:rPr>
        <w:t>2064.68</w:t>
      </w:r>
      <w:r>
        <w:rPr>
          <w:rFonts w:hint="eastAsia" w:ascii="仿宋" w:hAnsi="仿宋" w:eastAsia="仿宋"/>
          <w:color w:val="000000"/>
          <w:sz w:val="32"/>
          <w:szCs w:val="24"/>
          <w:highlight w:val="white"/>
          <w:lang w:val="en-US"/>
        </w:rPr>
        <w:t>万元，占一般公共预算项目支出总额的</w:t>
      </w:r>
      <w:r>
        <w:rPr>
          <w:rFonts w:hint="eastAsia" w:ascii="仿宋" w:hAnsi="仿宋" w:eastAsia="仿宋"/>
          <w:color w:val="000000"/>
          <w:sz w:val="32"/>
          <w:szCs w:val="24"/>
          <w:highlight w:val="white"/>
          <w:lang w:val="en-US" w:eastAsia="zh-CN"/>
        </w:rPr>
        <w:t>96.33</w:t>
      </w:r>
      <w:r>
        <w:rPr>
          <w:rFonts w:hint="eastAsia" w:ascii="仿宋" w:hAnsi="仿宋" w:eastAsia="仿宋"/>
          <w:color w:val="000000"/>
          <w:sz w:val="32"/>
          <w:szCs w:val="24"/>
          <w:highlight w:val="white"/>
          <w:lang w:val="en-US"/>
        </w:rPr>
        <w:t>%。组织对2021年度</w:t>
      </w:r>
      <w:r>
        <w:rPr>
          <w:rFonts w:hint="eastAsia" w:ascii="仿宋" w:hAnsi="仿宋" w:eastAsia="仿宋"/>
          <w:color w:val="000000"/>
          <w:sz w:val="32"/>
          <w:szCs w:val="24"/>
          <w:highlight w:val="white"/>
          <w:lang w:val="en-US" w:eastAsia="zh-CN"/>
        </w:rPr>
        <w:t>省十七届运动会、明招文化园景观提升2</w:t>
      </w:r>
      <w:r>
        <w:rPr>
          <w:rFonts w:hint="eastAsia" w:ascii="仿宋" w:hAnsi="仿宋" w:eastAsia="仿宋"/>
          <w:color w:val="000000"/>
          <w:sz w:val="32"/>
          <w:szCs w:val="24"/>
          <w:highlight w:val="white"/>
          <w:lang w:val="en-US"/>
        </w:rPr>
        <w:t>个政府性基金预算项目支出开展绩效自评，共涉及资金</w:t>
      </w:r>
      <w:r>
        <w:rPr>
          <w:rFonts w:hint="eastAsia" w:ascii="仿宋" w:hAnsi="仿宋" w:eastAsia="仿宋"/>
          <w:color w:val="000000"/>
          <w:sz w:val="32"/>
          <w:szCs w:val="24"/>
          <w:highlight w:val="white"/>
          <w:lang w:val="en-US" w:eastAsia="zh-CN"/>
        </w:rPr>
        <w:t>619.23</w:t>
      </w:r>
      <w:r>
        <w:rPr>
          <w:rFonts w:hint="eastAsia" w:ascii="仿宋" w:hAnsi="仿宋" w:eastAsia="仿宋"/>
          <w:color w:val="000000"/>
          <w:sz w:val="32"/>
          <w:szCs w:val="24"/>
          <w:highlight w:val="white"/>
          <w:lang w:val="en-US"/>
        </w:rPr>
        <w:t>万元，占政府性基金预算项目支出总额的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w:t>
      </w:r>
      <w:r>
        <w:rPr>
          <w:rFonts w:hint="eastAsia" w:ascii="仿宋" w:hAnsi="仿宋" w:eastAsia="仿宋"/>
          <w:b/>
          <w:color w:val="000000"/>
          <w:sz w:val="32"/>
          <w:szCs w:val="24"/>
          <w:highlight w:val="white"/>
          <w:lang w:val="en-US"/>
        </w:rPr>
        <w:t>本年无国有资本经营预算项目</w:t>
      </w:r>
      <w:r>
        <w:rPr>
          <w:rFonts w:hint="eastAsia" w:ascii="仿宋" w:hAnsi="仿宋" w:eastAsia="仿宋"/>
          <w:color w:val="000000"/>
          <w:sz w:val="32"/>
          <w:szCs w:val="24"/>
          <w:highlight w:val="white"/>
          <w:lang w:val="en-US"/>
        </w:rPr>
        <w:t>。</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组织对</w:t>
      </w:r>
      <w:r>
        <w:rPr>
          <w:rFonts w:hint="eastAsia" w:ascii="仿宋" w:hAnsi="仿宋" w:eastAsia="仿宋"/>
          <w:color w:val="000000"/>
          <w:sz w:val="32"/>
          <w:szCs w:val="24"/>
          <w:highlight w:val="white"/>
          <w:lang w:val="en-US" w:eastAsia="zh-CN"/>
        </w:rPr>
        <w:t>安全检测、广电低保、农村应急广播维护经费</w:t>
      </w:r>
      <w:r>
        <w:rPr>
          <w:rFonts w:hint="eastAsia" w:ascii="仿宋" w:hAnsi="仿宋" w:eastAsia="仿宋"/>
          <w:color w:val="000000"/>
          <w:sz w:val="32"/>
          <w:szCs w:val="24"/>
          <w:highlight w:val="white"/>
          <w:lang w:val="en-US"/>
        </w:rPr>
        <w:t>等</w:t>
      </w:r>
      <w:r>
        <w:rPr>
          <w:rFonts w:hint="eastAsia" w:ascii="仿宋" w:hAnsi="仿宋" w:eastAsia="仿宋"/>
          <w:color w:val="000000"/>
          <w:sz w:val="32"/>
          <w:szCs w:val="24"/>
          <w:highlight w:val="white"/>
          <w:lang w:val="en-US" w:eastAsia="zh-CN"/>
        </w:rPr>
        <w:t>14</w:t>
      </w:r>
      <w:r>
        <w:rPr>
          <w:rFonts w:hint="eastAsia" w:ascii="仿宋" w:hAnsi="仿宋" w:eastAsia="仿宋"/>
          <w:color w:val="000000"/>
          <w:sz w:val="32"/>
          <w:szCs w:val="24"/>
          <w:highlight w:val="white"/>
          <w:lang w:val="en-US"/>
        </w:rPr>
        <w:t>个项目开展了部门评价，涉及一般公共预算支出</w:t>
      </w:r>
      <w:r>
        <w:rPr>
          <w:rFonts w:hint="eastAsia" w:ascii="仿宋" w:hAnsi="仿宋" w:eastAsia="仿宋"/>
          <w:color w:val="000000"/>
          <w:sz w:val="32"/>
          <w:szCs w:val="24"/>
          <w:highlight w:val="white"/>
          <w:lang w:val="en-US" w:eastAsia="zh-CN"/>
        </w:rPr>
        <w:t>1445.45</w:t>
      </w:r>
      <w:r>
        <w:rPr>
          <w:rFonts w:hint="eastAsia" w:ascii="仿宋" w:hAnsi="仿宋" w:eastAsia="仿宋"/>
          <w:color w:val="000000"/>
          <w:sz w:val="32"/>
          <w:szCs w:val="24"/>
          <w:highlight w:val="white"/>
          <w:lang w:val="en-US"/>
        </w:rPr>
        <w:t>万元，政府性基金预算支出</w:t>
      </w:r>
      <w:r>
        <w:rPr>
          <w:rFonts w:hint="eastAsia" w:ascii="仿宋" w:hAnsi="仿宋" w:eastAsia="仿宋"/>
          <w:color w:val="000000"/>
          <w:sz w:val="32"/>
          <w:szCs w:val="24"/>
          <w:highlight w:val="white"/>
          <w:lang w:val="en-US" w:eastAsia="zh-CN"/>
        </w:rPr>
        <w:t>619.23</w:t>
      </w:r>
      <w:r>
        <w:rPr>
          <w:rFonts w:hint="eastAsia" w:ascii="仿宋" w:hAnsi="仿宋" w:eastAsia="仿宋"/>
          <w:color w:val="000000"/>
          <w:sz w:val="32"/>
          <w:szCs w:val="24"/>
          <w:highlight w:val="white"/>
          <w:lang w:val="en-US"/>
        </w:rPr>
        <w:t>万元，国有资本经营预算支出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14个项目均由局</w:t>
      </w:r>
      <w:r>
        <w:rPr>
          <w:rFonts w:hint="eastAsia" w:ascii="仿宋" w:hAnsi="仿宋" w:eastAsia="仿宋"/>
          <w:color w:val="000000"/>
          <w:sz w:val="32"/>
          <w:szCs w:val="24"/>
          <w:highlight w:val="white"/>
          <w:lang w:val="en-US"/>
        </w:rPr>
        <w:t>开展绩效评价。从评价情况来看，</w:t>
      </w:r>
      <w:r>
        <w:rPr>
          <w:rFonts w:hint="eastAsia" w:ascii="仿宋" w:hAnsi="仿宋" w:eastAsia="仿宋"/>
          <w:color w:val="000000"/>
          <w:sz w:val="32"/>
          <w:szCs w:val="24"/>
          <w:highlight w:val="white"/>
          <w:lang w:val="en-US" w:eastAsia="zh-CN"/>
        </w:rPr>
        <w:t>资金执行率为96.33，等级为优。</w:t>
      </w:r>
      <w:r>
        <w:rPr>
          <w:rFonts w:hint="eastAsia" w:ascii="仿宋" w:hAnsi="仿宋" w:eastAsia="仿宋"/>
          <w:color w:val="000000"/>
          <w:sz w:val="32"/>
          <w:szCs w:val="24"/>
          <w:highlight w:val="white"/>
          <w:lang w:val="en-US"/>
        </w:rPr>
        <w:br w:type="textWrapping"/>
      </w:r>
    </w:p>
    <w:p>
      <w:pPr>
        <w:numPr>
          <w:ilvl w:val="0"/>
          <w:numId w:val="0"/>
        </w:numPr>
        <w:spacing w:line="560" w:lineRule="exact"/>
        <w:ind w:firstLine="643" w:firstLineChars="200"/>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eastAsia="zh-CN"/>
        </w:rPr>
        <w:t>2.</w:t>
      </w:r>
      <w:r>
        <w:rPr>
          <w:rFonts w:hint="eastAsia" w:ascii="仿宋" w:hAnsi="仿宋" w:eastAsia="仿宋"/>
          <w:b/>
          <w:color w:val="000000"/>
          <w:sz w:val="32"/>
          <w:szCs w:val="24"/>
          <w:highlight w:val="white"/>
          <w:lang w:val="en-US"/>
        </w:rPr>
        <w:t>单位决算中项目绩效自评结果</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武义县文化和广电旅游体育</w:t>
      </w:r>
      <w:r>
        <w:rPr>
          <w:rFonts w:hint="eastAsia" w:ascii="仿宋" w:hAnsi="仿宋" w:eastAsia="仿宋"/>
          <w:color w:val="000000"/>
          <w:sz w:val="32"/>
          <w:szCs w:val="24"/>
          <w:highlight w:val="white"/>
          <w:lang w:val="en-US"/>
        </w:rPr>
        <w:t>局在202</w:t>
      </w:r>
      <w:r>
        <w:rPr>
          <w:rFonts w:hint="eastAsia" w:ascii="仿宋" w:hAnsi="仿宋" w:eastAsia="仿宋"/>
          <w:color w:val="000000"/>
          <w:sz w:val="32"/>
          <w:szCs w:val="24"/>
          <w:highlight w:val="white"/>
          <w:lang w:val="en-US" w:eastAsia="zh-CN"/>
        </w:rPr>
        <w:t>1</w:t>
      </w:r>
      <w:r>
        <w:rPr>
          <w:rFonts w:hint="eastAsia" w:ascii="仿宋" w:hAnsi="仿宋" w:eastAsia="仿宋"/>
          <w:color w:val="000000"/>
          <w:sz w:val="32"/>
          <w:szCs w:val="24"/>
          <w:highlight w:val="white"/>
          <w:lang w:val="en-US"/>
        </w:rPr>
        <w:t>年度单位决算中反映</w:t>
      </w:r>
      <w:r>
        <w:rPr>
          <w:rFonts w:hint="eastAsia" w:ascii="仿宋" w:hAnsi="仿宋" w:eastAsia="仿宋"/>
          <w:color w:val="000000"/>
          <w:sz w:val="32"/>
          <w:szCs w:val="24"/>
          <w:highlight w:val="white"/>
          <w:lang w:val="en-US" w:eastAsia="zh-CN"/>
        </w:rPr>
        <w:t>文物保护经</w:t>
      </w:r>
      <w:r>
        <w:rPr>
          <w:rFonts w:hint="eastAsia" w:ascii="仿宋_GB2312" w:hAnsi="仿宋_GB2312" w:eastAsia="仿宋_GB2312" w:cs="仿宋_GB2312"/>
          <w:color w:val="000000"/>
          <w:sz w:val="32"/>
          <w:szCs w:val="32"/>
          <w:highlight w:val="white"/>
          <w:lang w:val="en-US" w:eastAsia="zh-CN"/>
        </w:rPr>
        <w:t>费</w:t>
      </w:r>
      <w:r>
        <w:rPr>
          <w:rFonts w:hint="eastAsia" w:ascii="仿宋_GB2312" w:hAnsi="仿宋_GB2312" w:eastAsia="仿宋_GB2312" w:cs="仿宋_GB2312"/>
          <w:color w:val="000000"/>
          <w:sz w:val="32"/>
          <w:szCs w:val="32"/>
          <w:highlight w:val="white"/>
          <w:lang w:val="en-US"/>
        </w:rPr>
        <w:t>及</w:t>
      </w:r>
      <w:r>
        <w:rPr>
          <w:rFonts w:hint="eastAsia" w:ascii="仿宋_GB2312" w:hAnsi="仿宋_GB2312" w:eastAsia="仿宋_GB2312" w:cs="仿宋_GB2312"/>
          <w:color w:val="000000"/>
          <w:sz w:val="32"/>
          <w:szCs w:val="32"/>
          <w:lang w:val="en-US" w:eastAsia="zh-CN"/>
        </w:rPr>
        <w:t>明招文化园景观一期工程</w:t>
      </w:r>
      <w:r>
        <w:rPr>
          <w:rFonts w:hint="eastAsia" w:ascii="仿宋_GB2312" w:hAnsi="仿宋_GB2312" w:eastAsia="仿宋_GB2312" w:cs="仿宋_GB2312"/>
          <w:color w:val="000000"/>
          <w:sz w:val="32"/>
          <w:szCs w:val="32"/>
          <w:highlight w:val="white"/>
          <w:lang w:val="en-US"/>
        </w:rPr>
        <w:t>项目绩</w:t>
      </w:r>
      <w:r>
        <w:rPr>
          <w:rFonts w:hint="eastAsia" w:ascii="仿宋" w:hAnsi="仿宋" w:eastAsia="仿宋"/>
          <w:color w:val="000000"/>
          <w:sz w:val="32"/>
          <w:szCs w:val="24"/>
          <w:highlight w:val="white"/>
          <w:lang w:val="en-US"/>
        </w:rPr>
        <w:t>效自评结果。</w:t>
      </w:r>
    </w:p>
    <w:p>
      <w:pPr>
        <w:spacing w:line="560" w:lineRule="exact"/>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文物保护经</w:t>
      </w:r>
      <w:r>
        <w:rPr>
          <w:rFonts w:hint="eastAsia" w:ascii="仿宋_GB2312" w:hAnsi="仿宋_GB2312" w:eastAsia="仿宋_GB2312" w:cs="仿宋_GB2312"/>
          <w:color w:val="000000"/>
          <w:sz w:val="32"/>
          <w:szCs w:val="32"/>
          <w:highlight w:val="white"/>
          <w:lang w:val="en-US" w:eastAsia="zh-CN"/>
        </w:rPr>
        <w:t>费</w:t>
      </w:r>
      <w:r>
        <w:rPr>
          <w:rFonts w:hint="eastAsia" w:ascii="仿宋" w:hAnsi="仿宋" w:eastAsia="仿宋"/>
          <w:color w:val="000000"/>
          <w:sz w:val="32"/>
          <w:szCs w:val="24"/>
          <w:highlight w:val="white"/>
          <w:lang w:val="en-US"/>
        </w:rPr>
        <w:t>项目绩效自评综述：根据年初设定的绩效目标，项目自评得分</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分，自评结论为“</w:t>
      </w:r>
      <w:r>
        <w:rPr>
          <w:rFonts w:hint="eastAsia" w:ascii="仿宋" w:hAnsi="仿宋" w:eastAsia="仿宋"/>
          <w:color w:val="000000"/>
          <w:sz w:val="32"/>
          <w:szCs w:val="24"/>
          <w:highlight w:val="white"/>
          <w:lang w:val="en-US" w:eastAsia="zh-CN"/>
        </w:rPr>
        <w:t>优</w:t>
      </w:r>
      <w:r>
        <w:rPr>
          <w:rFonts w:hint="eastAsia" w:ascii="仿宋" w:hAnsi="仿宋" w:eastAsia="仿宋"/>
          <w:color w:val="000000"/>
          <w:sz w:val="32"/>
          <w:szCs w:val="24"/>
          <w:highlight w:val="white"/>
          <w:lang w:val="en-US"/>
        </w:rPr>
        <w:t>”。项目全年预算数为</w:t>
      </w:r>
      <w:r>
        <w:rPr>
          <w:rFonts w:hint="eastAsia" w:ascii="仿宋" w:hAnsi="仿宋" w:eastAsia="仿宋"/>
          <w:color w:val="000000"/>
          <w:sz w:val="32"/>
          <w:szCs w:val="24"/>
          <w:highlight w:val="white"/>
          <w:lang w:val="en-US" w:eastAsia="zh-CN"/>
        </w:rPr>
        <w:t>235.09</w:t>
      </w:r>
      <w:r>
        <w:rPr>
          <w:rFonts w:hint="eastAsia" w:ascii="仿宋" w:hAnsi="仿宋" w:eastAsia="仿宋"/>
          <w:color w:val="000000"/>
          <w:sz w:val="32"/>
          <w:szCs w:val="24"/>
          <w:highlight w:val="white"/>
          <w:lang w:val="en-US"/>
        </w:rPr>
        <w:t>万元，执行数为</w:t>
      </w:r>
      <w:r>
        <w:rPr>
          <w:rFonts w:hint="eastAsia" w:ascii="仿宋" w:hAnsi="仿宋" w:eastAsia="仿宋"/>
          <w:color w:val="000000"/>
          <w:sz w:val="32"/>
          <w:szCs w:val="24"/>
          <w:highlight w:val="white"/>
          <w:lang w:val="en-US" w:eastAsia="zh-CN"/>
        </w:rPr>
        <w:t>235.09</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%。项目绩效目标完成情况</w:t>
      </w:r>
      <w:r>
        <w:rPr>
          <w:rFonts w:hint="eastAsia" w:ascii="仿宋_GB2312" w:hAnsi="仿宋_GB2312" w:eastAsia="仿宋_GB2312" w:cs="仿宋_GB2312"/>
          <w:color w:val="000000"/>
          <w:sz w:val="32"/>
          <w:szCs w:val="32"/>
          <w:highlight w:val="white"/>
          <w:lang w:val="en-US"/>
        </w:rPr>
        <w:t>：</w:t>
      </w:r>
      <w:r>
        <w:rPr>
          <w:rFonts w:hint="eastAsia" w:ascii="仿宋_GB2312" w:hAnsi="仿宋_GB2312" w:eastAsia="仿宋_GB2312" w:cs="仿宋_GB2312"/>
          <w:color w:val="auto"/>
          <w:sz w:val="32"/>
          <w:szCs w:val="32"/>
          <w:lang w:val="en-US" w:eastAsia="zh-CN"/>
        </w:rPr>
        <w:t>开展武义县文保单位文保点电气设施巡查检测项目，完成武义县100个文物保护单位的电气安全检测；民办公助项目补助汤恩伯故居等10处文物建筑；编制蒋村东头民居、吴宅吴家祝氏民居等3处文</w:t>
      </w:r>
      <w:r>
        <w:rPr>
          <w:rFonts w:hint="eastAsia" w:ascii="仿宋_GB2312" w:hAnsi="仿宋_GB2312" w:eastAsia="仿宋_GB2312" w:cs="仿宋_GB2312"/>
          <w:color w:val="000000"/>
          <w:sz w:val="32"/>
          <w:szCs w:val="32"/>
          <w:lang w:val="en-US" w:eastAsia="zh-CN"/>
        </w:rPr>
        <w:t>保单位四有记录档案；更换、安装灭火器304只，配备140个灭火器箱；文保业务培训300人；开展文化遗产保护宣传系列活动，助力文物活化利用</w:t>
      </w:r>
      <w:r>
        <w:rPr>
          <w:rFonts w:hint="eastAsia" w:ascii="仿宋_GB2312" w:hAnsi="仿宋_GB2312" w:eastAsia="仿宋_GB2312" w:cs="仿宋_GB2312"/>
          <w:color w:val="000000"/>
          <w:sz w:val="32"/>
          <w:szCs w:val="32"/>
          <w:highlight w:val="white"/>
          <w:lang w:val="en-US"/>
        </w:rPr>
        <w:t>。发现的问题及原因：</w:t>
      </w:r>
      <w:r>
        <w:rPr>
          <w:rFonts w:hint="eastAsia" w:ascii="仿宋_GB2312" w:hAnsi="仿宋_GB2312" w:eastAsia="仿宋_GB2312" w:cs="仿宋_GB2312"/>
          <w:color w:val="000000"/>
          <w:sz w:val="32"/>
          <w:szCs w:val="32"/>
          <w:highlight w:val="white"/>
          <w:lang w:val="en-US" w:eastAsia="zh-CN"/>
        </w:rPr>
        <w:t>群众文物保护意识不强，原因是群众文物保护知识不足</w:t>
      </w:r>
      <w:r>
        <w:rPr>
          <w:rFonts w:hint="eastAsia" w:ascii="仿宋" w:hAnsi="仿宋" w:eastAsia="仿宋"/>
          <w:color w:val="000000"/>
          <w:sz w:val="32"/>
          <w:szCs w:val="24"/>
          <w:highlight w:val="white"/>
          <w:lang w:val="en-US"/>
        </w:rPr>
        <w:t>。下一步改进措施</w:t>
      </w:r>
      <w:r>
        <w:rPr>
          <w:rFonts w:hint="eastAsia" w:ascii="仿宋" w:hAnsi="仿宋" w:eastAsia="仿宋"/>
          <w:color w:val="000000"/>
          <w:sz w:val="32"/>
          <w:szCs w:val="24"/>
          <w:highlight w:val="white"/>
          <w:lang w:val="en-US" w:eastAsia="zh-CN"/>
        </w:rPr>
        <w:t>加大文物保护宣传力度，加强文物保护方面人才培养</w:t>
      </w:r>
      <w:r>
        <w:rPr>
          <w:rFonts w:hint="eastAsia" w:ascii="仿宋" w:hAnsi="仿宋" w:eastAsia="仿宋"/>
          <w:color w:val="000000"/>
          <w:sz w:val="32"/>
          <w:szCs w:val="24"/>
          <w:highlight w:val="white"/>
          <w:lang w:val="en-US"/>
        </w:rPr>
        <w:t>。</w:t>
      </w:r>
    </w:p>
    <w:p>
      <w:pPr>
        <w:spacing w:line="348" w:lineRule="auto"/>
        <w:jc w:val="center"/>
        <w:rPr>
          <w:rFonts w:hint="eastAsia" w:ascii="方正小标宋简体" w:eastAsia="方正小标宋简体"/>
          <w:sz w:val="44"/>
          <w:szCs w:val="24"/>
        </w:rPr>
      </w:pPr>
      <w:r>
        <w:rPr>
          <w:rFonts w:hint="eastAsia" w:ascii="方正小标宋简体" w:eastAsia="方正小标宋简体"/>
          <w:sz w:val="44"/>
          <w:szCs w:val="24"/>
        </w:rPr>
        <w:t>项目支出绩效自评表</w:t>
      </w:r>
    </w:p>
    <w:p>
      <w:pPr>
        <w:spacing w:line="348" w:lineRule="auto"/>
        <w:ind w:firstLine="2660" w:firstLineChars="950"/>
        <w:rPr>
          <w:rFonts w:hint="eastAsia" w:ascii="方正小标宋简体" w:eastAsia="方正小标宋简体"/>
          <w:sz w:val="44"/>
          <w:szCs w:val="24"/>
        </w:rPr>
      </w:pPr>
      <w:r>
        <w:rPr>
          <w:rFonts w:hint="eastAsia" w:ascii="方正小标宋简体" w:eastAsia="方正小标宋简体"/>
          <w:sz w:val="28"/>
          <w:szCs w:val="24"/>
        </w:rPr>
        <w:t xml:space="preserve"> （所属年度  </w:t>
      </w:r>
      <w:r>
        <w:rPr>
          <w:rFonts w:hint="eastAsia" w:ascii="方正小标宋简体" w:eastAsia="方正小标宋简体"/>
          <w:sz w:val="28"/>
          <w:szCs w:val="24"/>
          <w:lang w:val="en-US" w:eastAsia="zh-CN"/>
        </w:rPr>
        <w:t>2021</w:t>
      </w:r>
      <w:r>
        <w:rPr>
          <w:rFonts w:hint="eastAsia" w:ascii="方正小标宋简体" w:eastAsia="方正小标宋简体"/>
          <w:sz w:val="28"/>
          <w:szCs w:val="24"/>
        </w:rPr>
        <w:t xml:space="preserve">   年）</w:t>
      </w:r>
    </w:p>
    <w:tbl>
      <w:tblPr>
        <w:tblStyle w:val="7"/>
        <w:tblW w:w="921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
        <w:gridCol w:w="683"/>
        <w:gridCol w:w="1150"/>
        <w:gridCol w:w="1341"/>
        <w:gridCol w:w="1757"/>
        <w:gridCol w:w="1741"/>
        <w:gridCol w:w="1111"/>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113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项目名称</w:t>
            </w:r>
          </w:p>
        </w:tc>
        <w:tc>
          <w:tcPr>
            <w:tcW w:w="424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文物保护专项经费</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项目负责人</w:t>
            </w:r>
          </w:p>
        </w:tc>
        <w:tc>
          <w:tcPr>
            <w:tcW w:w="20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邵路程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37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lang w:val="en-US" w:eastAsia="zh-CN"/>
              </w:rPr>
            </w:pPr>
            <w:r>
              <w:rPr>
                <w:rFonts w:hint="eastAsia" w:ascii="宋体" w:hAnsi="宋体" w:cs="宋体"/>
                <w:color w:val="000000"/>
                <w:kern w:val="0"/>
                <w:sz w:val="22"/>
                <w:szCs w:val="22"/>
                <w:lang w:bidi="ar"/>
              </w:rPr>
              <w:t>主管部门（盖章）</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项目实施单位（盖章）</w:t>
            </w:r>
          </w:p>
        </w:tc>
        <w:tc>
          <w:tcPr>
            <w:tcW w:w="20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restart"/>
            <w:tcBorders>
              <w:top w:val="single" w:color="000000" w:sz="4" w:space="0"/>
              <w:left w:val="single" w:color="000000" w:sz="4" w:space="0"/>
              <w:bottom w:val="nil"/>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项目资金（万元）</w:t>
            </w: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项目支出明细内容</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年初预算数</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全年预算数</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全年执行数</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国保、省保及其他直管单位日常养护</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 xml:space="preserve">91.21 </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 xml:space="preserve">91.21 </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 xml:space="preserve">91.21 </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文保单位四有记录档案编制</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10.56</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10.56</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10.56</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民办公助补助费用</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22.50</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22.50</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22.50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文保单位日常维护保养费用</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65.86</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65.86</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65.86</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文化遗产等保护宣传经费</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44.96</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44.955</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44.955</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kern w:val="0"/>
                <w:sz w:val="22"/>
                <w:szCs w:val="22"/>
                <w:lang w:bidi="ar"/>
              </w:rPr>
              <w:t>合计</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 xml:space="preserve">235.09 </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 xml:space="preserve">235.09 </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bidi="ar-SA"/>
              </w:rPr>
              <w:t xml:space="preserve">235.09 </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restart"/>
            <w:tcBorders>
              <w:top w:val="single" w:color="000000" w:sz="4" w:space="0"/>
              <w:left w:val="single" w:color="000000" w:sz="4" w:space="0"/>
              <w:bottom w:val="nil"/>
              <w:right w:val="single" w:color="000000" w:sz="4" w:space="0"/>
              <w:tl2br w:val="nil"/>
              <w:tr2bl w:val="nil"/>
            </w:tcBorders>
            <w:noWrap w:val="0"/>
            <w:vAlign w:val="top"/>
          </w:tcPr>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年度总体目标</w:t>
            </w:r>
          </w:p>
        </w:tc>
        <w:tc>
          <w:tcPr>
            <w:tcW w:w="424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预期目标</w:t>
            </w:r>
          </w:p>
        </w:tc>
        <w:tc>
          <w:tcPr>
            <w:tcW w:w="383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0" w:hRule="atLeast"/>
        </w:trPr>
        <w:tc>
          <w:tcPr>
            <w:tcW w:w="1130" w:type="dxa"/>
            <w:gridSpan w:val="2"/>
            <w:vMerge w:val="continue"/>
            <w:tcBorders>
              <w:top w:val="nil"/>
              <w:left w:val="single" w:color="000000" w:sz="4" w:space="0"/>
              <w:bottom w:val="single" w:color="000000" w:sz="4" w:space="0"/>
              <w:right w:val="single" w:color="000000" w:sz="4" w:space="0"/>
              <w:tl2br w:val="nil"/>
              <w:tr2bl w:val="nil"/>
            </w:tcBorders>
            <w:noWrap w:val="0"/>
            <w:vAlign w:val="top"/>
          </w:tcPr>
          <w:p>
            <w:pPr>
              <w:spacing w:line="260" w:lineRule="exact"/>
              <w:jc w:val="left"/>
              <w:rPr>
                <w:rFonts w:hint="eastAsia" w:ascii="宋体" w:hAnsi="宋体" w:cs="宋体"/>
                <w:color w:val="000000"/>
                <w:sz w:val="22"/>
                <w:szCs w:val="22"/>
                <w:lang w:val="en-US" w:eastAsia="zh-CN"/>
              </w:rPr>
            </w:pPr>
          </w:p>
        </w:tc>
        <w:tc>
          <w:tcPr>
            <w:tcW w:w="424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ind w:firstLine="440" w:firstLineChars="200"/>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对县域内具有重要历史、科学和艺术价值的不可移动文物实施保护修缮和合理利用，延长不可移动文物的寿命，保存其文物价值，提高文物保护的科学性与实用性，推进文物建筑保护利用，助力文物活化利用。</w:t>
            </w:r>
          </w:p>
        </w:tc>
        <w:tc>
          <w:tcPr>
            <w:tcW w:w="383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ind w:firstLine="440" w:firstLineChars="200"/>
              <w:rPr>
                <w:rFonts w:hint="eastAsia" w:ascii="宋体" w:hAnsi="宋体" w:cs="宋体"/>
                <w:color w:val="000000"/>
                <w:sz w:val="22"/>
                <w:szCs w:val="22"/>
                <w:lang w:val="en-US" w:eastAsia="zh-CN"/>
              </w:rPr>
            </w:pPr>
            <w:r>
              <w:rPr>
                <w:rFonts w:hint="eastAsia" w:ascii="宋体" w:hAnsi="宋体" w:cs="宋体"/>
                <w:color w:val="auto"/>
                <w:sz w:val="22"/>
                <w:szCs w:val="22"/>
                <w:lang w:val="en-US" w:eastAsia="zh-CN"/>
              </w:rPr>
              <w:t>开展武义县文保单位文保点电气设施巡查检测项目，完成武义县100个文物保护单位的电气安全检测；民办公助项目补助汤恩伯故居等10处文物建筑；编制蒋村东头民居、吴宅吴家祝氏民居等3处文</w:t>
            </w:r>
            <w:r>
              <w:rPr>
                <w:rFonts w:hint="eastAsia" w:ascii="宋体" w:hAnsi="宋体" w:cs="宋体"/>
                <w:color w:val="000000"/>
                <w:sz w:val="22"/>
                <w:szCs w:val="22"/>
                <w:lang w:val="en-US" w:eastAsia="zh-CN"/>
              </w:rPr>
              <w:t>保单位四有记录档案；更换、安装灭火器304只，配备140个灭火器箱；文保业务培训300人；开展文化遗产保护宣传系列活动，助力文物活化利用。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绩效指标</w:t>
            </w: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绩效指标</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一级指标</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二级指标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三级指标</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年度指标值</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实际完成值</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权重</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自评</w:t>
            </w: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产出指标</w:t>
            </w:r>
          </w:p>
        </w:tc>
        <w:tc>
          <w:tcPr>
            <w:tcW w:w="1150"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数量指标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修缮补助文物建筑</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auto"/>
                <w:sz w:val="22"/>
                <w:szCs w:val="22"/>
                <w:lang w:val="en-US" w:eastAsia="zh-CN"/>
              </w:rPr>
              <w:t>完成民办公助项目</w:t>
            </w:r>
            <w:r>
              <w:rPr>
                <w:rFonts w:hint="eastAsia" w:ascii="宋体" w:hAnsi="宋体" w:cs="宋体"/>
                <w:color w:val="000000"/>
                <w:sz w:val="22"/>
                <w:szCs w:val="22"/>
                <w:lang w:val="en-US" w:eastAsia="zh-CN"/>
              </w:rPr>
              <w:t>10处</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auto"/>
                <w:sz w:val="22"/>
                <w:szCs w:val="22"/>
                <w:lang w:val="en-US" w:eastAsia="zh-CN"/>
              </w:rPr>
              <w:t>完成民办公助项目</w:t>
            </w:r>
            <w:r>
              <w:rPr>
                <w:rFonts w:hint="eastAsia" w:ascii="宋体" w:hAnsi="宋体" w:cs="宋体"/>
                <w:color w:val="000000"/>
                <w:sz w:val="22"/>
                <w:szCs w:val="22"/>
                <w:lang w:val="en-US" w:eastAsia="zh-CN"/>
              </w:rPr>
              <w:t>10处</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编制文保单位四有记录档案</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完成</w:t>
            </w:r>
            <w:r>
              <w:rPr>
                <w:rFonts w:hint="eastAsia" w:ascii="宋体" w:hAnsi="宋体" w:cs="宋体"/>
                <w:color w:val="000000"/>
                <w:kern w:val="0"/>
                <w:sz w:val="22"/>
                <w:szCs w:val="22"/>
                <w:lang w:val="en-US" w:eastAsia="zh-CN" w:bidi="ar"/>
              </w:rPr>
              <w:t>文保单位四有记录档案编制</w:t>
            </w:r>
            <w:r>
              <w:rPr>
                <w:rFonts w:hint="eastAsia" w:ascii="宋体" w:hAnsi="宋体" w:cs="宋体"/>
                <w:color w:val="000000"/>
                <w:sz w:val="22"/>
                <w:szCs w:val="22"/>
                <w:lang w:val="en-US" w:eastAsia="zh-CN"/>
              </w:rPr>
              <w:t>2处</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完成</w:t>
            </w:r>
            <w:r>
              <w:rPr>
                <w:rFonts w:hint="eastAsia" w:ascii="宋体" w:hAnsi="宋体" w:cs="宋体"/>
                <w:color w:val="000000"/>
                <w:kern w:val="0"/>
                <w:sz w:val="22"/>
                <w:szCs w:val="22"/>
                <w:lang w:val="en-US" w:eastAsia="zh-CN" w:bidi="ar"/>
              </w:rPr>
              <w:t>文保单位四有记录档案编制</w:t>
            </w:r>
            <w:r>
              <w:rPr>
                <w:rFonts w:hint="eastAsia" w:ascii="宋体" w:hAnsi="宋体" w:cs="宋体"/>
                <w:color w:val="000000"/>
                <w:sz w:val="22"/>
                <w:szCs w:val="22"/>
                <w:lang w:val="en-US" w:eastAsia="zh-CN"/>
              </w:rPr>
              <w:t>3处</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vMerge w:val="continue"/>
            <w:tcBorders>
              <w:top w:val="nil"/>
              <w:left w:val="single" w:color="000000" w:sz="4" w:space="0"/>
              <w:bottom w:val="nil"/>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更换、安装灭火器，灭火器箱</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rPr>
              <w:t>更换、安装50只灭火器，配备20个灭火器箱</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lang w:val="en-US" w:eastAsia="zh-CN"/>
              </w:rPr>
              <w:t>更换、安装灭火器304只，配备140个灭火器箱</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5</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开展文化遗产保护宣传系列活动</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开展文化遗产保护宣传系列活动至少2场</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举办3场文化遗产专题讲座，开展2场研学活动</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5</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质量指标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项目验收合格率</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w:t>
            </w:r>
          </w:p>
          <w:p>
            <w:pPr>
              <w:spacing w:line="260" w:lineRule="exact"/>
              <w:jc w:val="center"/>
              <w:textAlignment w:val="center"/>
              <w:rPr>
                <w:rFonts w:hint="eastAsia" w:ascii="宋体" w:hAnsi="宋体" w:cs="宋体"/>
                <w:color w:val="000000"/>
                <w:kern w:val="0"/>
                <w:sz w:val="22"/>
                <w:szCs w:val="22"/>
                <w:lang w:val="en-US" w:bidi="ar"/>
              </w:rPr>
            </w:pPr>
            <w:r>
              <w:rPr>
                <w:rFonts w:hint="eastAsia" w:ascii="宋体" w:hAnsi="宋体" w:cs="宋体"/>
                <w:color w:val="000000"/>
                <w:kern w:val="0"/>
                <w:sz w:val="22"/>
                <w:szCs w:val="22"/>
                <w:lang w:val="en-US" w:eastAsia="zh-CN" w:bidi="ar"/>
              </w:rPr>
              <w:t>验收合格</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w:t>
            </w:r>
          </w:p>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验收合格</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时效指标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当年项目进度计划完成</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bidi="ar"/>
              </w:rPr>
            </w:pPr>
            <w:r>
              <w:rPr>
                <w:rFonts w:hint="eastAsia" w:ascii="宋体" w:hAnsi="宋体" w:cs="宋体"/>
                <w:color w:val="000000"/>
                <w:kern w:val="0"/>
                <w:sz w:val="22"/>
                <w:szCs w:val="22"/>
                <w:lang w:val="en-US" w:eastAsia="zh-CN" w:bidi="ar"/>
              </w:rPr>
              <w:t>2021年12月31日前全部完工</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val="en-US" w:eastAsia="zh-CN" w:bidi="ar"/>
              </w:rPr>
              <w:t>2021年12月31日前</w:t>
            </w: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全部完成并验收合格</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成本指标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项目总费用严格控制</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项目总费用严格控制在</w:t>
            </w:r>
            <w:r>
              <w:rPr>
                <w:rFonts w:hint="eastAsia" w:ascii="宋体" w:hAnsi="宋体" w:cs="宋体"/>
                <w:color w:val="000000"/>
                <w:sz w:val="22"/>
                <w:szCs w:val="22"/>
                <w:lang w:val="en-US" w:eastAsia="zh-CN" w:bidi="ar-SA"/>
              </w:rPr>
              <w:t xml:space="preserve">235.09 </w:t>
            </w:r>
            <w:r>
              <w:rPr>
                <w:rFonts w:hint="eastAsia" w:ascii="宋体" w:hAnsi="宋体" w:cs="宋体"/>
                <w:color w:val="000000"/>
                <w:kern w:val="0"/>
                <w:sz w:val="22"/>
                <w:szCs w:val="22"/>
                <w:lang w:val="en-US" w:eastAsia="zh-CN" w:bidi="ar"/>
              </w:rPr>
              <w:t>万内</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项目总费用为</w:t>
            </w:r>
            <w:r>
              <w:rPr>
                <w:rFonts w:hint="eastAsia" w:ascii="宋体" w:hAnsi="宋体" w:cs="宋体"/>
                <w:color w:val="000000"/>
                <w:sz w:val="22"/>
                <w:szCs w:val="22"/>
                <w:lang w:val="en-US" w:eastAsia="zh-CN" w:bidi="ar-SA"/>
              </w:rPr>
              <w:t xml:space="preserve">235.09 </w:t>
            </w:r>
            <w:r>
              <w:rPr>
                <w:rFonts w:hint="eastAsia" w:ascii="宋体" w:hAnsi="宋体" w:cs="宋体"/>
                <w:color w:val="000000"/>
                <w:kern w:val="0"/>
                <w:sz w:val="22"/>
                <w:szCs w:val="22"/>
                <w:lang w:val="en-US" w:eastAsia="zh-CN" w:bidi="ar"/>
              </w:rPr>
              <w:t>万内</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效益指标</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经济效益指标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经济效益</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该项目实施不产生经济效益</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该项目实施不产生经济效益</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社会效益指标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lang w:val="en-US" w:eastAsia="zh-CN"/>
              </w:rPr>
            </w:pPr>
            <w:r>
              <w:rPr>
                <w:rFonts w:hint="eastAsia" w:ascii="宋体" w:hAnsi="宋体" w:cs="宋体"/>
                <w:color w:val="000000"/>
                <w:kern w:val="0"/>
                <w:sz w:val="22"/>
                <w:szCs w:val="22"/>
                <w:lang w:bidi="ar"/>
              </w:rPr>
              <w:t>社会效益</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kern w:val="0"/>
                <w:sz w:val="22"/>
                <w:szCs w:val="22"/>
                <w:lang w:val="en-US" w:eastAsia="zh-CN" w:bidi="ar"/>
              </w:rPr>
            </w:pPr>
            <w:r>
              <w:rPr>
                <w:rFonts w:hint="eastAsia"/>
                <w:sz w:val="22"/>
                <w:szCs w:val="24"/>
                <w:lang w:val="en-US" w:eastAsia="zh-CN"/>
              </w:rPr>
              <w:t>对县域内具有重要历史、科学和艺术价值的文物和历史建筑实施保护修缮和合理利用，改善住户生产生活条件，助力生态景区全域化建设。</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lang w:val="en-US" w:eastAsia="zh-CN"/>
              </w:rPr>
              <w:t>开展文化遗产保护宣传系列活动，助力文物活化利用</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可持续影响指标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sz w:val="22"/>
                <w:szCs w:val="24"/>
                <w:lang w:val="en-US" w:eastAsia="zh-CN"/>
              </w:rPr>
              <w:t>通过修缮古建筑，环境整治，改善生态环境</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通过对文物建筑本体及周边环境的修缮保护，整治周边环境，改善生态环境</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val="en-US" w:eastAsia="zh-CN" w:bidi="ar"/>
              </w:rPr>
              <w:t>完成</w:t>
            </w:r>
            <w:r>
              <w:rPr>
                <w:rFonts w:hint="eastAsia" w:ascii="宋体" w:hAnsi="宋体" w:cs="宋体"/>
                <w:color w:val="000000"/>
                <w:sz w:val="22"/>
                <w:szCs w:val="22"/>
                <w:lang w:val="en-US" w:eastAsia="zh-CN"/>
              </w:rPr>
              <w:t>修缮补助文物建筑，延长不可移动文物的寿命，保存其文物价值</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满意度指标</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3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服务对象或受益者满意度</w:t>
            </w:r>
          </w:p>
        </w:tc>
        <w:tc>
          <w:tcPr>
            <w:tcW w:w="17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达</w:t>
            </w:r>
            <w:r>
              <w:rPr>
                <w:rFonts w:hint="eastAsia" w:ascii="宋体" w:hAnsi="宋体" w:cs="宋体"/>
                <w:color w:val="000000"/>
                <w:kern w:val="0"/>
                <w:sz w:val="22"/>
                <w:szCs w:val="22"/>
                <w:lang w:val="en-US" w:eastAsia="zh-CN" w:bidi="ar"/>
              </w:rPr>
              <w:t>90%以上</w:t>
            </w:r>
          </w:p>
        </w:tc>
        <w:tc>
          <w:tcPr>
            <w:tcW w:w="17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达</w:t>
            </w:r>
            <w:r>
              <w:rPr>
                <w:rFonts w:hint="eastAsia" w:ascii="宋体" w:hAnsi="宋体" w:cs="宋体"/>
                <w:color w:val="000000"/>
                <w:kern w:val="0"/>
                <w:sz w:val="22"/>
                <w:szCs w:val="22"/>
                <w:lang w:val="en-US" w:eastAsia="zh-CN" w:bidi="ar"/>
              </w:rPr>
              <w:t>90%以上</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2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自评得分</w:t>
            </w:r>
          </w:p>
        </w:tc>
        <w:tc>
          <w:tcPr>
            <w:tcW w:w="483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自评得分（S)= 执行率指标得分+产出指标得分+效益指标得分+满意度指标得分。满分100</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rPr>
              <w:t>100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130"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偏差原因分析及改进措施</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主要问题</w:t>
            </w:r>
          </w:p>
        </w:tc>
        <w:tc>
          <w:tcPr>
            <w:tcW w:w="6934"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原因</w:t>
            </w:r>
          </w:p>
        </w:tc>
        <w:tc>
          <w:tcPr>
            <w:tcW w:w="6934"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改进措施</w:t>
            </w:r>
          </w:p>
        </w:tc>
        <w:tc>
          <w:tcPr>
            <w:tcW w:w="6934"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trPr>
        <w:tc>
          <w:tcPr>
            <w:tcW w:w="22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自评等级</w:t>
            </w:r>
          </w:p>
        </w:tc>
        <w:tc>
          <w:tcPr>
            <w:tcW w:w="309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rPr>
                <w:rFonts w:hint="eastAsia" w:ascii="宋体" w:hAnsi="宋体" w:cs="宋体"/>
                <w:color w:val="000000"/>
                <w:sz w:val="22"/>
                <w:szCs w:val="22"/>
              </w:rPr>
            </w:pPr>
            <w:r>
              <w:rPr>
                <w:rFonts w:hint="eastAsia" w:ascii="宋体" w:hAnsi="宋体" w:cs="宋体"/>
                <w:color w:val="000000"/>
                <w:kern w:val="0"/>
                <w:sz w:val="22"/>
                <w:szCs w:val="22"/>
                <w:lang w:bidi="ar"/>
              </w:rPr>
              <w:t>优</w:t>
            </w:r>
          </w:p>
        </w:tc>
        <w:tc>
          <w:tcPr>
            <w:tcW w:w="383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自评等级分为：优（S≥90）、良（90＞S≥80）、中（80＞S≥60）、差（S&lt;60）。</w:t>
            </w:r>
          </w:p>
        </w:tc>
      </w:tr>
    </w:tbl>
    <w:p>
      <w:pPr>
        <w:rPr>
          <w:rFonts w:hint="eastAsia" w:ascii="仿宋_GB2312" w:eastAsia="仿宋_GB2312"/>
          <w:b/>
          <w:sz w:val="11"/>
          <w:szCs w:val="24"/>
        </w:rPr>
      </w:pPr>
    </w:p>
    <w:p>
      <w:pPr>
        <w:spacing w:line="324" w:lineRule="auto"/>
        <w:ind w:firstLine="594"/>
        <w:rPr>
          <w:rFonts w:hint="eastAsia" w:ascii="仿宋" w:hAnsi="仿宋" w:eastAsia="仿宋"/>
          <w:color w:val="000000"/>
          <w:sz w:val="32"/>
          <w:szCs w:val="24"/>
          <w:highlight w:val="white"/>
          <w:lang w:val="en-US"/>
        </w:rPr>
      </w:pPr>
    </w:p>
    <w:p>
      <w:pPr>
        <w:spacing w:line="324" w:lineRule="auto"/>
        <w:ind w:firstLine="594"/>
        <w:rPr>
          <w:rFonts w:hint="eastAsia" w:ascii="仿宋" w:hAnsi="仿宋" w:eastAsia="仿宋"/>
          <w:color w:val="000000"/>
          <w:sz w:val="32"/>
          <w:szCs w:val="24"/>
          <w:highlight w:val="white"/>
          <w:lang w:val="en-US"/>
        </w:rPr>
      </w:pPr>
      <w:r>
        <w:rPr>
          <w:rFonts w:hint="eastAsia" w:ascii="仿宋_GB2312" w:hAnsi="仿宋_GB2312" w:eastAsia="仿宋_GB2312" w:cs="仿宋_GB2312"/>
          <w:color w:val="000000"/>
          <w:sz w:val="32"/>
          <w:szCs w:val="32"/>
          <w:lang w:val="en-US" w:eastAsia="zh-CN"/>
        </w:rPr>
        <w:t>明招文化园景观一期工程</w:t>
      </w:r>
      <w:r>
        <w:rPr>
          <w:rFonts w:hint="eastAsia" w:ascii="仿宋" w:hAnsi="仿宋" w:eastAsia="仿宋"/>
          <w:color w:val="000000"/>
          <w:sz w:val="32"/>
          <w:szCs w:val="24"/>
          <w:highlight w:val="white"/>
          <w:lang w:val="en-US"/>
        </w:rPr>
        <w:t>项目绩效自评综述：根据年初设定的绩效目标，项目自评得分</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分，自评结论为“</w:t>
      </w:r>
      <w:r>
        <w:rPr>
          <w:rFonts w:hint="eastAsia" w:ascii="仿宋" w:hAnsi="仿宋" w:eastAsia="仿宋"/>
          <w:color w:val="000000"/>
          <w:sz w:val="32"/>
          <w:szCs w:val="24"/>
          <w:highlight w:val="white"/>
          <w:lang w:val="en-US" w:eastAsia="zh-CN"/>
        </w:rPr>
        <w:t>优</w:t>
      </w:r>
      <w:r>
        <w:rPr>
          <w:rFonts w:hint="eastAsia" w:ascii="仿宋" w:hAnsi="仿宋" w:eastAsia="仿宋"/>
          <w:color w:val="000000"/>
          <w:sz w:val="32"/>
          <w:szCs w:val="24"/>
          <w:highlight w:val="white"/>
          <w:lang w:val="en-US"/>
        </w:rPr>
        <w:t>”。项目全年预算数为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万元，执行数为</w:t>
      </w:r>
      <w:r>
        <w:rPr>
          <w:rFonts w:hint="eastAsia" w:ascii="仿宋" w:hAnsi="仿宋" w:eastAsia="仿宋"/>
          <w:color w:val="000000"/>
          <w:sz w:val="32"/>
          <w:szCs w:val="24"/>
          <w:highlight w:val="white"/>
          <w:lang w:val="en-US" w:eastAsia="zh-CN"/>
        </w:rPr>
        <w:t>124.24</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%。项目绩效目标完成情况</w:t>
      </w:r>
      <w:r>
        <w:rPr>
          <w:rFonts w:hint="eastAsia" w:ascii="仿宋" w:hAnsi="仿宋" w:eastAsia="仿宋" w:cs="Times New Roman"/>
          <w:color w:val="000000"/>
          <w:sz w:val="32"/>
          <w:szCs w:val="24"/>
          <w:highlight w:val="white"/>
          <w:lang w:val="en-US"/>
        </w:rPr>
        <w:t>：</w:t>
      </w:r>
      <w:r>
        <w:rPr>
          <w:rFonts w:hint="eastAsia" w:ascii="仿宋" w:hAnsi="仿宋" w:eastAsia="仿宋" w:cs="Times New Roman"/>
          <w:color w:val="000000"/>
          <w:sz w:val="32"/>
          <w:szCs w:val="24"/>
          <w:highlight w:val="white"/>
          <w:lang w:val="en-US" w:eastAsia="zh-CN"/>
        </w:rPr>
        <w:t>已完成新建明招小院、二山门，复建古亭、整治提升古墓，并对文化园核心区道路、停车场、玩珠山、明招山游步道等进行景观提升改造建设，完成项目验收和审计工作</w:t>
      </w:r>
      <w:r>
        <w:rPr>
          <w:rFonts w:hint="eastAsia" w:ascii="仿宋" w:hAnsi="仿宋" w:eastAsia="仿宋" w:cs="Times New Roman"/>
          <w:color w:val="000000"/>
          <w:sz w:val="32"/>
          <w:szCs w:val="24"/>
          <w:highlight w:val="white"/>
          <w:lang w:val="en-US"/>
        </w:rPr>
        <w:t>。发现的问题及原因：</w:t>
      </w:r>
      <w:r>
        <w:rPr>
          <w:rFonts w:hint="eastAsia" w:ascii="仿宋" w:hAnsi="仿宋" w:eastAsia="仿宋" w:cs="Times New Roman"/>
          <w:color w:val="000000"/>
          <w:sz w:val="32"/>
          <w:szCs w:val="24"/>
          <w:highlight w:val="white"/>
          <w:lang w:val="en-US" w:eastAsia="zh-CN"/>
        </w:rPr>
        <w:t>小部分区域工程实施结果与当初设计有出入</w:t>
      </w:r>
      <w:r>
        <w:rPr>
          <w:rFonts w:hint="eastAsia" w:ascii="仿宋" w:hAnsi="仿宋" w:eastAsia="仿宋" w:cs="Times New Roman"/>
          <w:color w:val="000000"/>
          <w:sz w:val="32"/>
          <w:szCs w:val="24"/>
          <w:highlight w:val="white"/>
          <w:lang w:val="en-US"/>
        </w:rPr>
        <w:t>。</w:t>
      </w:r>
      <w:r>
        <w:rPr>
          <w:rFonts w:hint="eastAsia" w:ascii="仿宋" w:hAnsi="仿宋" w:eastAsia="仿宋"/>
          <w:color w:val="000000"/>
          <w:sz w:val="32"/>
          <w:szCs w:val="24"/>
          <w:highlight w:val="white"/>
          <w:lang w:val="en-US"/>
        </w:rPr>
        <w:t>下一步改进措施</w:t>
      </w:r>
      <w:r>
        <w:rPr>
          <w:rFonts w:hint="eastAsia" w:ascii="仿宋" w:hAnsi="仿宋" w:eastAsia="仿宋"/>
          <w:color w:val="000000"/>
          <w:sz w:val="32"/>
          <w:szCs w:val="24"/>
          <w:highlight w:val="white"/>
          <w:lang w:val="en-US" w:eastAsia="zh-CN"/>
        </w:rPr>
        <w:t>加强与施工方沟通，同时增加对施工的日常监督</w:t>
      </w:r>
      <w:r>
        <w:rPr>
          <w:rFonts w:hint="eastAsia" w:ascii="仿宋" w:hAnsi="仿宋" w:eastAsia="仿宋"/>
          <w:color w:val="000000"/>
          <w:sz w:val="32"/>
          <w:szCs w:val="24"/>
          <w:highlight w:val="white"/>
          <w:lang w:val="en-US"/>
        </w:rPr>
        <w:t>。</w:t>
      </w:r>
    </w:p>
    <w:p>
      <w:pPr>
        <w:spacing w:line="348" w:lineRule="auto"/>
        <w:jc w:val="center"/>
        <w:rPr>
          <w:rFonts w:hint="eastAsia" w:ascii="方正小标宋简体" w:eastAsia="方正小标宋简体"/>
          <w:sz w:val="44"/>
          <w:szCs w:val="24"/>
        </w:rPr>
      </w:pPr>
      <w:r>
        <w:rPr>
          <w:rFonts w:hint="eastAsia" w:ascii="方正小标宋简体" w:eastAsia="方正小标宋简体"/>
          <w:sz w:val="44"/>
          <w:szCs w:val="24"/>
        </w:rPr>
        <w:t>项目支出绩效自评表</w:t>
      </w:r>
    </w:p>
    <w:p>
      <w:pPr>
        <w:spacing w:line="348" w:lineRule="auto"/>
        <w:ind w:firstLine="2660" w:firstLineChars="950"/>
        <w:rPr>
          <w:rFonts w:hint="eastAsia" w:ascii="仿宋" w:hAnsi="仿宋" w:eastAsia="仿宋"/>
          <w:color w:val="000000"/>
          <w:sz w:val="32"/>
          <w:szCs w:val="24"/>
          <w:highlight w:val="white"/>
          <w:lang w:val="en-US"/>
        </w:rPr>
      </w:pPr>
      <w:r>
        <w:rPr>
          <w:rFonts w:hint="eastAsia" w:ascii="方正小标宋简体" w:eastAsia="方正小标宋简体"/>
          <w:sz w:val="28"/>
          <w:szCs w:val="24"/>
        </w:rPr>
        <w:t xml:space="preserve"> （所属年度  </w:t>
      </w:r>
      <w:r>
        <w:rPr>
          <w:rFonts w:hint="eastAsia" w:ascii="方正小标宋简体" w:eastAsia="方正小标宋简体"/>
          <w:sz w:val="28"/>
          <w:szCs w:val="24"/>
          <w:lang w:val="en-US" w:eastAsia="zh-CN"/>
        </w:rPr>
        <w:t>2021</w:t>
      </w:r>
      <w:r>
        <w:rPr>
          <w:rFonts w:hint="eastAsia" w:ascii="方正小标宋简体" w:eastAsia="方正小标宋简体"/>
          <w:sz w:val="28"/>
          <w:szCs w:val="24"/>
        </w:rPr>
        <w:t xml:space="preserve">   年）</w:t>
      </w:r>
    </w:p>
    <w:tbl>
      <w:tblPr>
        <w:tblStyle w:val="7"/>
        <w:tblW w:w="921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
        <w:gridCol w:w="683"/>
        <w:gridCol w:w="1150"/>
        <w:gridCol w:w="1350"/>
        <w:gridCol w:w="1528"/>
        <w:gridCol w:w="1689"/>
        <w:gridCol w:w="1383"/>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113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项目名称</w:t>
            </w:r>
          </w:p>
        </w:tc>
        <w:tc>
          <w:tcPr>
            <w:tcW w:w="40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明招文化园景观一期工程</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项目负责人</w:t>
            </w:r>
          </w:p>
        </w:tc>
        <w:tc>
          <w:tcPr>
            <w:tcW w:w="23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邵路程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158"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lang w:val="en-US" w:eastAsia="zh-CN"/>
              </w:rPr>
            </w:pPr>
            <w:r>
              <w:rPr>
                <w:rFonts w:hint="eastAsia" w:ascii="宋体" w:hAnsi="宋体" w:cs="宋体"/>
                <w:color w:val="000000"/>
                <w:kern w:val="0"/>
                <w:sz w:val="22"/>
                <w:szCs w:val="22"/>
                <w:lang w:bidi="ar"/>
              </w:rPr>
              <w:t>主管部门（盖章）</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项目实施单位（盖章）</w:t>
            </w:r>
          </w:p>
        </w:tc>
        <w:tc>
          <w:tcPr>
            <w:tcW w:w="23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项目资金（万元）</w:t>
            </w:r>
          </w:p>
        </w:tc>
        <w:tc>
          <w:tcPr>
            <w:tcW w:w="2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项目支出明细内容</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年初预算数</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全年预算数</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全年执行数</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明招文化园景观（一期）工程绿化工程款</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78.4415</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78.4415</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78.4415</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明招文化园景观（一期）工程市政建设工程款</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 xml:space="preserve">42.6564 </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 xml:space="preserve">42.6564 </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 xml:space="preserve">42.6564 </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明招文化园景观（一期）工程预算咨询服务费</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 xml:space="preserve">1.4983 </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 xml:space="preserve">1.4983 </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 xml:space="preserve">1.4983 </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sz w:val="22"/>
                <w:szCs w:val="22"/>
                <w:lang w:val="en-US" w:eastAsia="zh-CN"/>
              </w:rPr>
              <w:t>明招文化园景观（一期）工程咨询审计费</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1.6469</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1.6469</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1.6469</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2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kern w:val="0"/>
                <w:sz w:val="22"/>
                <w:szCs w:val="22"/>
                <w:lang w:bidi="ar"/>
              </w:rPr>
              <w:t>合计</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kern w:val="0"/>
                <w:sz w:val="22"/>
                <w:szCs w:val="22"/>
                <w:lang w:val="en-US" w:eastAsia="zh-CN" w:bidi="ar"/>
              </w:rPr>
              <w:t>124.2431</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kern w:val="0"/>
                <w:sz w:val="22"/>
                <w:szCs w:val="22"/>
                <w:lang w:val="en-US" w:eastAsia="zh-CN" w:bidi="ar"/>
              </w:rPr>
              <w:t>124.2431</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宋体" w:hAnsi="宋体" w:cs="宋体"/>
                <w:color w:val="000000"/>
                <w:sz w:val="22"/>
                <w:szCs w:val="22"/>
                <w:lang w:val="en-US" w:eastAsia="zh-CN" w:bidi="ar-SA"/>
              </w:rPr>
            </w:pPr>
            <w:r>
              <w:rPr>
                <w:rFonts w:hint="eastAsia" w:ascii="宋体" w:hAnsi="宋体" w:cs="宋体"/>
                <w:color w:val="000000"/>
                <w:kern w:val="0"/>
                <w:sz w:val="22"/>
                <w:szCs w:val="22"/>
                <w:lang w:val="en-US" w:eastAsia="zh-CN" w:bidi="ar"/>
              </w:rPr>
              <w:t>124.2431</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130" w:type="dxa"/>
            <w:gridSpan w:val="2"/>
            <w:vMerge w:val="restart"/>
            <w:tcBorders>
              <w:top w:val="single" w:color="000000" w:sz="4" w:space="0"/>
              <w:left w:val="single" w:color="000000" w:sz="4" w:space="0"/>
              <w:bottom w:val="nil"/>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年度总体目标</w:t>
            </w:r>
          </w:p>
        </w:tc>
        <w:tc>
          <w:tcPr>
            <w:tcW w:w="40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预期目标</w:t>
            </w:r>
          </w:p>
        </w:tc>
        <w:tc>
          <w:tcPr>
            <w:tcW w:w="40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130"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p>
        </w:tc>
        <w:tc>
          <w:tcPr>
            <w:tcW w:w="40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ind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做好明招山文物保护工作，进一步宣传武义历史人文。</w:t>
            </w:r>
          </w:p>
        </w:tc>
        <w:tc>
          <w:tcPr>
            <w:tcW w:w="40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ind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已完成新建明招小院、二山门，复建古亭、整治提升古墓，并对文化园核心区道路、停车场、玩珠山、明招山游步道等进行景观提升改造建设，完成项目验收和审计工作。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绩效指标</w:t>
            </w: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绩效指标</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一级指标</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二级指标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三级指标</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年度指标值</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实际完成值</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权重</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自评</w:t>
            </w: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产出指标</w:t>
            </w:r>
          </w:p>
        </w:tc>
        <w:tc>
          <w:tcPr>
            <w:tcW w:w="1150" w:type="dxa"/>
            <w:tcBorders>
              <w:top w:val="single" w:color="000000" w:sz="4" w:space="0"/>
              <w:left w:val="single" w:color="000000" w:sz="4" w:space="0"/>
              <w:bottom w:val="nil"/>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数量指标</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完成全部明招文化园建设项目和景观提升改造项目</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auto"/>
                <w:sz w:val="22"/>
                <w:szCs w:val="22"/>
                <w:lang w:val="en-US" w:eastAsia="zh-CN"/>
              </w:rPr>
            </w:pPr>
            <w:r>
              <w:rPr>
                <w:rFonts w:hint="eastAsia" w:ascii="宋体" w:hAnsi="宋体" w:cs="宋体"/>
                <w:color w:val="000000"/>
                <w:kern w:val="0"/>
                <w:sz w:val="22"/>
                <w:szCs w:val="22"/>
                <w:lang w:val="en-US" w:eastAsia="zh-CN" w:bidi="ar"/>
              </w:rPr>
              <w:t>完成全部明招文化园建设项目和景观提升改造项目并完成项目验收和审计工作</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质量指标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项目执行率</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w:t>
            </w:r>
          </w:p>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验收合格</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w:t>
            </w:r>
          </w:p>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验收合格</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项目验收合格率</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w:t>
            </w:r>
          </w:p>
          <w:p>
            <w:pPr>
              <w:spacing w:line="260" w:lineRule="exact"/>
              <w:jc w:val="center"/>
              <w:textAlignment w:val="center"/>
              <w:rPr>
                <w:rFonts w:hint="eastAsia" w:ascii="宋体" w:hAnsi="宋体" w:cs="宋体"/>
                <w:color w:val="FF0000"/>
                <w:kern w:val="0"/>
                <w:sz w:val="22"/>
                <w:szCs w:val="22"/>
                <w:lang w:bidi="ar"/>
              </w:rPr>
            </w:pPr>
            <w:r>
              <w:rPr>
                <w:rFonts w:hint="eastAsia" w:ascii="宋体" w:hAnsi="宋体" w:cs="宋体"/>
                <w:color w:val="000000"/>
                <w:kern w:val="0"/>
                <w:sz w:val="22"/>
                <w:szCs w:val="22"/>
                <w:lang w:val="en-US" w:eastAsia="zh-CN" w:bidi="ar"/>
              </w:rPr>
              <w:t>验收合格</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w:t>
            </w:r>
          </w:p>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验收合格</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时效指标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eastAsia="zh-CN" w:bidi="ar"/>
              </w:rPr>
              <w:t>当年项目进度计划完成</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FF0000"/>
                <w:kern w:val="0"/>
                <w:sz w:val="22"/>
                <w:szCs w:val="22"/>
                <w:lang w:bidi="ar"/>
              </w:rPr>
            </w:pPr>
            <w:r>
              <w:rPr>
                <w:rFonts w:hint="eastAsia" w:ascii="宋体" w:hAnsi="宋体" w:cs="宋体"/>
                <w:color w:val="000000"/>
                <w:kern w:val="0"/>
                <w:sz w:val="22"/>
                <w:szCs w:val="22"/>
                <w:lang w:val="en-US" w:eastAsia="zh-CN" w:bidi="ar"/>
              </w:rPr>
              <w:t>2021年12月31日前全部完工</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kern w:val="0"/>
                <w:sz w:val="22"/>
                <w:szCs w:val="22"/>
                <w:lang w:bidi="ar"/>
              </w:rPr>
            </w:pPr>
            <w:r>
              <w:rPr>
                <w:rFonts w:hint="eastAsia" w:ascii="宋体" w:hAnsi="宋体" w:cs="宋体"/>
                <w:color w:val="000000"/>
                <w:kern w:val="0"/>
                <w:sz w:val="22"/>
                <w:szCs w:val="22"/>
                <w:lang w:val="en-US" w:eastAsia="zh-CN" w:bidi="ar"/>
              </w:rPr>
              <w:t>2021年12月31日前</w:t>
            </w: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val="en-US" w:eastAsia="zh-CN" w:bidi="ar"/>
              </w:rPr>
              <w:t>全部完成并验收合格</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成本指标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eastAsia="zh-CN" w:bidi="ar"/>
              </w:rPr>
              <w:t>项目总费用严格控制</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eastAsia="zh-CN" w:bidi="ar"/>
              </w:rPr>
              <w:t>项目总费用严格控制在</w:t>
            </w:r>
            <w:r>
              <w:rPr>
                <w:rFonts w:hint="eastAsia" w:ascii="宋体" w:hAnsi="宋体" w:cs="宋体"/>
                <w:color w:val="auto"/>
                <w:kern w:val="0"/>
                <w:sz w:val="22"/>
                <w:szCs w:val="22"/>
                <w:lang w:val="en-US" w:eastAsia="zh-CN" w:bidi="ar"/>
              </w:rPr>
              <w:t>124.2431万</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eastAsia="zh-CN" w:bidi="ar"/>
              </w:rPr>
              <w:t>项目总费用为</w:t>
            </w:r>
            <w:r>
              <w:rPr>
                <w:rFonts w:hint="eastAsia" w:ascii="宋体" w:hAnsi="宋体" w:cs="宋体"/>
                <w:color w:val="auto"/>
                <w:kern w:val="0"/>
                <w:sz w:val="22"/>
                <w:szCs w:val="22"/>
                <w:lang w:val="en-US" w:eastAsia="zh-CN" w:bidi="ar"/>
              </w:rPr>
              <w:t>124.2431万</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kern w:val="0"/>
                <w:sz w:val="22"/>
                <w:szCs w:val="22"/>
                <w:lang w:bidi="ar"/>
              </w:rPr>
            </w:pPr>
          </w:p>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效益指标</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经济效益指标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经济效益</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该项目实施不产生经济效益</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该项目实施不产生经济效益</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社会效益指标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lang w:val="en-US" w:eastAsia="zh-CN"/>
              </w:rPr>
            </w:pPr>
            <w:r>
              <w:rPr>
                <w:rFonts w:hint="eastAsia" w:ascii="宋体" w:hAnsi="宋体" w:cs="宋体"/>
                <w:color w:val="000000"/>
                <w:kern w:val="0"/>
                <w:sz w:val="22"/>
                <w:szCs w:val="22"/>
                <w:lang w:bidi="ar"/>
              </w:rPr>
              <w:t>社会效益</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做好明招山文物保护工作，为县域旅游增加新的亮点，充实和提升旅游产业结构，进一步宣传武义历史人文</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完成全部明招文化园建设项目和景观提升改造项目，为县域旅游增加新的亮点</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可持续影响指标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sz w:val="22"/>
                <w:szCs w:val="24"/>
                <w:lang w:val="en-US" w:eastAsia="zh-CN"/>
              </w:rPr>
              <w:t>生态效益</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通过对规划区的景观重塑，大大改善了生态环境，满足文化休闲需求</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val="en-US" w:eastAsia="zh-CN" w:bidi="ar"/>
              </w:rPr>
              <w:t>完成</w:t>
            </w:r>
            <w:r>
              <w:rPr>
                <w:rFonts w:hint="eastAsia" w:ascii="宋体" w:hAnsi="宋体" w:cs="宋体"/>
                <w:color w:val="auto"/>
                <w:sz w:val="22"/>
                <w:szCs w:val="22"/>
                <w:lang w:val="en-US" w:eastAsia="zh-CN"/>
              </w:rPr>
              <w:t>景观提升改造建设，</w:t>
            </w:r>
            <w:r>
              <w:rPr>
                <w:rFonts w:hint="eastAsia" w:ascii="宋体" w:hAnsi="宋体" w:cs="宋体"/>
                <w:color w:val="000000"/>
                <w:kern w:val="0"/>
                <w:sz w:val="22"/>
                <w:szCs w:val="22"/>
                <w:lang w:val="en-US" w:eastAsia="zh-CN" w:bidi="ar"/>
              </w:rPr>
              <w:t>大大改善了生态环境，满足文化休闲需求</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满意度指标</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服务对象或受益者满意度</w:t>
            </w:r>
          </w:p>
        </w:tc>
        <w:tc>
          <w:tcPr>
            <w:tcW w:w="15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val="en-US" w:bidi="ar"/>
              </w:rPr>
            </w:pPr>
            <w:r>
              <w:rPr>
                <w:rFonts w:hint="eastAsia" w:ascii="宋体" w:hAnsi="宋体" w:cs="宋体"/>
                <w:color w:val="000000"/>
                <w:kern w:val="0"/>
                <w:sz w:val="22"/>
                <w:szCs w:val="22"/>
                <w:lang w:eastAsia="zh-CN" w:bidi="ar"/>
              </w:rPr>
              <w:t>达</w:t>
            </w:r>
            <w:r>
              <w:rPr>
                <w:rFonts w:hint="eastAsia" w:ascii="宋体" w:hAnsi="宋体" w:cs="宋体"/>
                <w:color w:val="000000"/>
                <w:kern w:val="0"/>
                <w:sz w:val="22"/>
                <w:szCs w:val="22"/>
                <w:lang w:val="en-US" w:eastAsia="zh-CN" w:bidi="ar"/>
              </w:rPr>
              <w:t>90%以上</w:t>
            </w:r>
          </w:p>
        </w:tc>
        <w:tc>
          <w:tcPr>
            <w:tcW w:w="16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eastAsia="zh-CN" w:bidi="ar"/>
              </w:rPr>
              <w:t>达</w:t>
            </w:r>
            <w:r>
              <w:rPr>
                <w:rFonts w:hint="eastAsia" w:ascii="宋体" w:hAnsi="宋体" w:cs="宋体"/>
                <w:color w:val="000000"/>
                <w:kern w:val="0"/>
                <w:sz w:val="22"/>
                <w:szCs w:val="22"/>
                <w:lang w:val="en-US" w:eastAsia="zh-CN" w:bidi="ar"/>
              </w:rPr>
              <w:t>90%以上</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bidi="ar-SA"/>
              </w:rPr>
            </w:pPr>
            <w:r>
              <w:rPr>
                <w:rFonts w:hint="eastAsia" w:ascii="宋体" w:hAnsi="宋体" w:cs="宋体"/>
                <w:color w:val="000000"/>
                <w:sz w:val="22"/>
                <w:szCs w:val="22"/>
                <w:lang w:val="en-US" w:eastAsia="zh-CN"/>
              </w:rPr>
              <w:t>10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2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自评得分</w:t>
            </w:r>
          </w:p>
        </w:tc>
        <w:tc>
          <w:tcPr>
            <w:tcW w:w="456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自评得分（S)= 执行率指标得分+产出指标得分+效益指标得分+满意度指标得分。满分100</w:t>
            </w:r>
          </w:p>
        </w:tc>
        <w:tc>
          <w:tcPr>
            <w:tcW w:w="13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r>
              <w:rPr>
                <w:rFonts w:hint="eastAsia" w:ascii="宋体" w:hAnsi="宋体" w:cs="宋体"/>
                <w:color w:val="000000"/>
                <w:sz w:val="22"/>
                <w:szCs w:val="22"/>
              </w:rPr>
              <w:t>100</w:t>
            </w:r>
          </w:p>
        </w:tc>
        <w:tc>
          <w:tcPr>
            <w:tcW w:w="9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1130"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偏差原因分析及改进措施</w:t>
            </w: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主要问题</w:t>
            </w:r>
          </w:p>
        </w:tc>
        <w:tc>
          <w:tcPr>
            <w:tcW w:w="6934"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原因</w:t>
            </w:r>
          </w:p>
        </w:tc>
        <w:tc>
          <w:tcPr>
            <w:tcW w:w="6934"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113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改进措施</w:t>
            </w:r>
          </w:p>
        </w:tc>
        <w:tc>
          <w:tcPr>
            <w:tcW w:w="6934"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22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自评等级</w:t>
            </w:r>
          </w:p>
        </w:tc>
        <w:tc>
          <w:tcPr>
            <w:tcW w:w="287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rPr>
                <w:rFonts w:hint="eastAsia" w:ascii="宋体" w:hAnsi="宋体" w:cs="宋体"/>
                <w:color w:val="000000"/>
                <w:sz w:val="22"/>
                <w:szCs w:val="22"/>
              </w:rPr>
            </w:pPr>
            <w:r>
              <w:rPr>
                <w:rFonts w:hint="eastAsia" w:ascii="宋体" w:hAnsi="宋体" w:cs="宋体"/>
                <w:color w:val="000000"/>
                <w:kern w:val="0"/>
                <w:sz w:val="22"/>
                <w:szCs w:val="22"/>
                <w:lang w:bidi="ar"/>
              </w:rPr>
              <w:t>优</w:t>
            </w:r>
          </w:p>
        </w:tc>
        <w:tc>
          <w:tcPr>
            <w:tcW w:w="40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6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自评等级分为：优（S≥90）、良（90＞S≥80）、中（80＞S≥60）、差（S&lt;60）。</w:t>
            </w:r>
          </w:p>
        </w:tc>
      </w:tr>
    </w:tbl>
    <w:p>
      <w:pPr>
        <w:spacing w:line="324" w:lineRule="auto"/>
        <w:ind w:firstLine="594"/>
        <w:rPr>
          <w:rFonts w:hint="eastAsia" w:ascii="仿宋" w:hAnsi="仿宋" w:eastAsia="仿宋"/>
          <w:color w:val="000000"/>
          <w:sz w:val="32"/>
          <w:szCs w:val="24"/>
          <w:highlight w:val="white"/>
          <w:lang w:val="en-US"/>
        </w:rPr>
      </w:pPr>
    </w:p>
    <w:p>
      <w:pPr>
        <w:spacing w:line="324" w:lineRule="auto"/>
        <w:ind w:firstLine="643" w:firstLineChars="200"/>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3.财政评价项目绩效评价结果</w:t>
      </w:r>
      <w:r>
        <w:rPr>
          <w:rFonts w:hint="eastAsia" w:ascii="仿宋" w:hAnsi="仿宋" w:eastAsia="仿宋"/>
          <w:b/>
          <w:color w:val="000000"/>
          <w:sz w:val="32"/>
          <w:szCs w:val="24"/>
          <w:highlight w:val="white"/>
          <w:lang w:val="en-US" w:eastAsia="zh-CN"/>
        </w:rPr>
        <w:t>：</w:t>
      </w:r>
      <w:r>
        <w:rPr>
          <w:rFonts w:hint="eastAsia" w:ascii="仿宋" w:hAnsi="仿宋" w:eastAsia="仿宋"/>
          <w:b/>
          <w:color w:val="000000"/>
          <w:sz w:val="32"/>
          <w:szCs w:val="24"/>
          <w:highlight w:val="white"/>
          <w:lang w:val="en-US"/>
        </w:rPr>
        <w:t>“无”。</w:t>
      </w:r>
    </w:p>
    <w:p>
      <w:pPr>
        <w:spacing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4.部门评价项目绩效评价结果</w:t>
      </w:r>
      <w:r>
        <w:rPr>
          <w:rFonts w:hint="eastAsia" w:ascii="仿宋" w:hAnsi="仿宋" w:eastAsia="仿宋"/>
          <w:b/>
          <w:color w:val="000000"/>
          <w:sz w:val="32"/>
          <w:szCs w:val="24"/>
          <w:highlight w:val="white"/>
          <w:lang w:val="en-US" w:eastAsia="zh-CN"/>
        </w:rPr>
        <w:t>：</w:t>
      </w:r>
      <w:r>
        <w:rPr>
          <w:rFonts w:hint="eastAsia" w:ascii="仿宋" w:hAnsi="仿宋" w:eastAsia="仿宋"/>
          <w:b/>
          <w:color w:val="000000"/>
          <w:sz w:val="32"/>
          <w:szCs w:val="24"/>
          <w:highlight w:val="white"/>
          <w:lang w:val="en-US"/>
        </w:rPr>
        <w:t>“无”。</w:t>
      </w:r>
    </w:p>
    <w:p>
      <w:pPr>
        <w:spacing w:line="324" w:lineRule="auto"/>
        <w:ind w:firstLine="594"/>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说明：</w:t>
      </w:r>
      <w:r>
        <w:rPr>
          <w:rFonts w:hint="eastAsia" w:ascii="仿宋" w:hAnsi="仿宋" w:eastAsia="仿宋"/>
          <w:b/>
          <w:color w:val="000000"/>
          <w:sz w:val="32"/>
          <w:szCs w:val="24"/>
          <w:highlight w:val="white"/>
          <w:lang w:val="en-US"/>
        </w:rPr>
        <w:t>部门评价项目</w:t>
      </w:r>
      <w:r>
        <w:rPr>
          <w:rFonts w:hint="eastAsia" w:ascii="仿宋" w:hAnsi="仿宋" w:eastAsia="仿宋"/>
          <w:color w:val="000000"/>
          <w:sz w:val="32"/>
          <w:szCs w:val="24"/>
          <w:highlight w:val="white"/>
          <w:lang w:val="en-US"/>
        </w:rPr>
        <w:t>是指本部门自行开展的评价对象为本部门政策、项目、整体支出或下属单位整体支出的绩效评价；</w:t>
      </w:r>
      <w:r>
        <w:rPr>
          <w:rFonts w:hint="eastAsia" w:ascii="仿宋" w:hAnsi="仿宋" w:eastAsia="仿宋"/>
          <w:b/>
          <w:color w:val="000000"/>
          <w:sz w:val="32"/>
          <w:szCs w:val="24"/>
          <w:highlight w:val="white"/>
          <w:lang w:val="en-US"/>
        </w:rPr>
        <w:t>财政评价项目</w:t>
      </w:r>
      <w:r>
        <w:rPr>
          <w:rFonts w:hint="eastAsia" w:ascii="仿宋" w:hAnsi="仿宋" w:eastAsia="仿宋"/>
          <w:color w:val="000000"/>
          <w:sz w:val="32"/>
          <w:szCs w:val="24"/>
          <w:highlight w:val="white"/>
          <w:lang w:val="en-US"/>
        </w:rPr>
        <w:t>是指以由财政部门开展的评价对象为本部门政策、项目或整体支出的绩效评价项目。</w:t>
      </w:r>
    </w:p>
    <w:p>
      <w:pPr>
        <w:pStyle w:val="2"/>
        <w:rPr>
          <w:rFonts w:hint="default"/>
          <w:sz w:val="32"/>
          <w:szCs w:val="24"/>
          <w:lang w:val="en-US"/>
        </w:rPr>
      </w:pPr>
      <w:bookmarkStart w:id="15" w:name="_Toc32659"/>
      <w:r>
        <w:rPr>
          <w:rFonts w:hint="eastAsia"/>
          <w:sz w:val="32"/>
          <w:szCs w:val="24"/>
          <w:lang w:val="en-US"/>
        </w:rPr>
        <w:t>四、名词解释</w:t>
      </w:r>
      <w:bookmarkEnd w:id="15"/>
    </w:p>
    <w:p>
      <w:pPr>
        <w:spacing w:line="324" w:lineRule="auto"/>
        <w:ind w:firstLine="594"/>
        <w:rPr>
          <w:rFonts w:hint="eastAsia" w:ascii="仿宋" w:hAnsi="仿宋" w:eastAsia="仿宋"/>
          <w:color w:val="000000"/>
          <w:sz w:val="32"/>
          <w:szCs w:val="24"/>
          <w:highlight w:val="white"/>
          <w:lang w:val="zh-CN"/>
        </w:rPr>
      </w:pPr>
      <w:r>
        <w:rPr>
          <w:rFonts w:hint="eastAsia" w:ascii="仿宋" w:hAnsi="仿宋" w:eastAsia="仿宋"/>
          <w:color w:val="000000"/>
          <w:sz w:val="32"/>
          <w:szCs w:val="24"/>
          <w:highlight w:val="white"/>
          <w:lang w:val="zh-CN"/>
        </w:rPr>
        <w:t>1.财政拨款收入：指本级财政部门当年拨付的财政预算资金，包括一般公共预算财政拨款、政府性基金预算财政拨款和国有资本经营预算财政拨款。</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zh-CN"/>
        </w:rPr>
        <w:t>2.事业收入：指事业单位开展专业业务活动及辅助活动所取得的收入。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3.经营收入：指事业单位在专业业务活动及辅助活动之外开展非独立核算经营活动取得的收入。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4.上级补助收入：指事业单位从主管部门和上级单位取得的非财政补助收入。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5.附属单位上缴收入：指事业单位附属独立核算单位按照有关规定上缴的收入。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6.其他收入：指预算单位在“财政拨款”、“事业收入”、“经营收入”、“上级补助收入”、“附属单位上缴收入”等之外取得的各项收入。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7.使用非财政拨款结余：指事业单位使用以前年度积累的非财政拨款结余弥补当年收支差额的金额。</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8.年初结转和结余：指预算单位以前年度尚未完成、结转到本年仍按原规定用途继续使用的资金。</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9.年末结转和结余：指单位按有关规定结转到下年或以后年度继续使用的资金。</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10.基本支出：指预算单位为保障其正常运转，完成日常工作任务所发生的支出，包括人员经费支出和日常公用经费支出。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11.项目支出：指预算单位为完成其特定的行政工作任务或事业发展目标所发生的支出。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12.上缴上级支出：填列事业单位按照财政部门和主管部门的规定上缴上级单位的支出。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13.经营支出：指事业单位在专业业务活动及其辅助活动之外开展非独立核算经营活动发生的支出。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14.附属单位补助支出：填列事业单位用财政补助收入之外的收入对附属单位补助发生的支出。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17.文化和旅游体育与传媒支出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行政运行</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：用于行政单位（包括实行公务员管理的事业单位）的基本支出。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18.文化和旅游体育与传媒支出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图书馆</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：反映图书馆的支出。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19.文化和旅游体育与传媒支出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文化展示及纪念机构</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：反映各类艺术展览馆、文化名人纪念馆（碑）的支出。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20.文化和旅游体育与传媒支出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群众文化</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：反映群众文化方面的支出，包括基层文化馆(站）、群众艺术馆支出等。</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21.文化和旅游体育与传媒支出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文化创作与保护</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：反映鼓励文学、艺术创作和优秀传统文化保护方面的支出。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22.文化和旅游体育与传媒支出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文化和旅游市场管理</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：反映文化和旅游执法检查等文化旅游市场管理方面的支出。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23.文化和旅游体育与传媒支出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旅游行业业务管理</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：反映用于旅游行业业务管理的支出。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24.文化和旅游体育与传媒支出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文化和旅游</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其他文化和旅游支出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：反映其他用于文化和旅游方面的支出。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25.文化和旅游体育与传媒支出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文物</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文物保护</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：反映考古发掘及文物保护方面的支出。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26.文化和旅游体育与传媒支出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文物</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博物馆</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：反映文物系统及其他部门所属博物馆、纪念馆（室）的支出。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27.文化和旅游体育与传媒支出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体育</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其他体育支出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：反映用于其他体育方面的支出。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28.文化和旅游体育与传媒支出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其他文化体育与传媒支出</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其他文化体育与传媒支出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：反映其他文化体育与传媒方面的支出。</w:t>
      </w:r>
    </w:p>
    <w:p>
      <w:pPr>
        <w:spacing w:line="324" w:lineRule="auto"/>
        <w:ind w:firstLine="640" w:firstLineChars="200"/>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29.社会保障和就业支出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行政事业单位离退休</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机关事业单位基本养老保险缴费支出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：反映机关事业单位实施养老保险制度由单位缴纳的基本养老保险费支出。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30.社会保障和就业支出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行政事业单位离退休</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机关事业单位职业年金缴费支出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：反映机关事业单位实施养老保险制度由单位实际缴纳的职业年金支出。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31.社会保障和就业支出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行政事业单位离退休</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其他行政事业单位离退休支出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：反映用于行政事业单位其他离退休方面的支出。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32.城乡社区支出（类）其他城乡社区支出（款）其他城乡社区支出（项）：反映政府城乡社区事务支出。</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33.住房保障支出（类）住房改革支出（款）住房公积金（项）：反映行政事业单位按人力资源和社会保障部、财政部规定的基本工资和津贴补贴以及规定比例为职工缴纳的住房公积金。</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34.农林水支出</w:t>
      </w:r>
      <w:r>
        <w:rPr>
          <w:rFonts w:hint="eastAsia" w:ascii="仿宋" w:hAnsi="仿宋" w:eastAsia="仿宋"/>
          <w:color w:val="000000"/>
          <w:sz w:val="32"/>
          <w:szCs w:val="24"/>
          <w:highlight w:val="white"/>
          <w:lang w:val="en-US"/>
        </w:rPr>
        <w:t>（类）</w:t>
      </w:r>
      <w:r>
        <w:rPr>
          <w:rFonts w:hint="eastAsia" w:ascii="仿宋" w:hAnsi="仿宋" w:eastAsia="仿宋"/>
          <w:color w:val="000000"/>
          <w:sz w:val="32"/>
          <w:szCs w:val="24"/>
          <w:highlight w:val="white"/>
          <w:lang w:val="en-US" w:eastAsia="zh-CN"/>
        </w:rPr>
        <w:t>农业农村（</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其他农业农村支出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反映除可以归类项目以外其他用于农业农村方面的支出。</w:t>
      </w:r>
    </w:p>
    <w:p>
      <w:pPr>
        <w:spacing w:line="324" w:lineRule="auto"/>
        <w:ind w:firstLine="594"/>
        <w:rPr>
          <w:rFonts w:hint="eastAsia" w:ascii="仿宋" w:hAnsi="仿宋" w:eastAsia="仿宋"/>
          <w:color w:val="000000"/>
          <w:sz w:val="32"/>
          <w:szCs w:val="24"/>
          <w:highlight w:val="white"/>
          <w:lang w:val="en-US" w:eastAsia="zh-CN"/>
        </w:rPr>
      </w:pPr>
    </w:p>
    <w:p>
      <w:pPr>
        <w:spacing w:line="324" w:lineRule="auto"/>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附表：</w:t>
      </w:r>
    </w:p>
    <w:p>
      <w:pPr>
        <w:spacing w:line="540" w:lineRule="atLeast"/>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97830" cy="4383405"/>
            <wp:effectExtent l="0" t="0" r="7620" b="17145"/>
            <wp:docPr id="9" name="图片 2" descr="166432918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1664329182502"/>
                    <pic:cNvPicPr>
                      <a:picLocks noChangeAspect="1"/>
                    </pic:cNvPicPr>
                  </pic:nvPicPr>
                  <pic:blipFill>
                    <a:blip r:embed="rId5"/>
                    <a:stretch>
                      <a:fillRect/>
                    </a:stretch>
                  </pic:blipFill>
                  <pic:spPr>
                    <a:xfrm>
                      <a:off x="0" y="0"/>
                      <a:ext cx="5497830" cy="4383405"/>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黑体" w:hAnsi="黑体" w:eastAsia="黑体"/>
          <w:color w:val="auto"/>
          <w:spacing w:val="15"/>
          <w:sz w:val="44"/>
          <w:szCs w:val="24"/>
          <w:lang w:val="en-US" w:eastAsia="zh-CN"/>
        </w:rPr>
      </w:pPr>
      <w:r>
        <w:rPr>
          <w:rFonts w:hint="default" w:ascii="黑体" w:hAnsi="黑体" w:eastAsia="黑体"/>
          <w:color w:val="auto"/>
          <w:spacing w:val="15"/>
          <w:sz w:val="44"/>
          <w:szCs w:val="24"/>
          <w:lang w:val="en-US" w:eastAsia="zh-CN"/>
        </w:rPr>
        <w:drawing>
          <wp:inline distT="0" distB="0" distL="114300" distR="114300">
            <wp:extent cx="5461635" cy="2079625"/>
            <wp:effectExtent l="0" t="0" r="5715" b="15875"/>
            <wp:docPr id="8" name="图片 3" descr="1664329269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1664329269674(1)"/>
                    <pic:cNvPicPr>
                      <a:picLocks noChangeAspect="1"/>
                    </pic:cNvPicPr>
                  </pic:nvPicPr>
                  <pic:blipFill>
                    <a:blip r:embed="rId6"/>
                    <a:stretch>
                      <a:fillRect/>
                    </a:stretch>
                  </pic:blipFill>
                  <pic:spPr>
                    <a:xfrm>
                      <a:off x="0" y="0"/>
                      <a:ext cx="5461635" cy="2079625"/>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509260" cy="5623560"/>
            <wp:effectExtent l="0" t="0" r="15240" b="15240"/>
            <wp:docPr id="10" name="图片 4" descr="166432945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1664329458742"/>
                    <pic:cNvPicPr>
                      <a:picLocks noChangeAspect="1"/>
                    </pic:cNvPicPr>
                  </pic:nvPicPr>
                  <pic:blipFill>
                    <a:blip r:embed="rId7"/>
                    <a:stretch>
                      <a:fillRect/>
                    </a:stretch>
                  </pic:blipFill>
                  <pic:spPr>
                    <a:xfrm>
                      <a:off x="0" y="0"/>
                      <a:ext cx="5509260" cy="5623560"/>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516880" cy="1865630"/>
            <wp:effectExtent l="0" t="0" r="7620" b="1270"/>
            <wp:docPr id="11" name="图片 5" descr="1664329515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1664329515760(1)"/>
                    <pic:cNvPicPr>
                      <a:picLocks noChangeAspect="1"/>
                    </pic:cNvPicPr>
                  </pic:nvPicPr>
                  <pic:blipFill>
                    <a:blip r:embed="rId8"/>
                    <a:stretch>
                      <a:fillRect/>
                    </a:stretch>
                  </pic:blipFill>
                  <pic:spPr>
                    <a:xfrm>
                      <a:off x="0" y="0"/>
                      <a:ext cx="5516880" cy="1865630"/>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78780" cy="5810885"/>
            <wp:effectExtent l="0" t="0" r="7620" b="18415"/>
            <wp:docPr id="13" name="图片 6" descr="166432959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1664329594470"/>
                    <pic:cNvPicPr>
                      <a:picLocks noChangeAspect="1"/>
                    </pic:cNvPicPr>
                  </pic:nvPicPr>
                  <pic:blipFill>
                    <a:blip r:embed="rId9"/>
                    <a:stretch>
                      <a:fillRect/>
                    </a:stretch>
                  </pic:blipFill>
                  <pic:spPr>
                    <a:xfrm>
                      <a:off x="0" y="0"/>
                      <a:ext cx="5478780" cy="5810885"/>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74335" cy="4994275"/>
            <wp:effectExtent l="0" t="0" r="12065" b="15875"/>
            <wp:docPr id="14" name="图片 7" descr="166432968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1664329680889"/>
                    <pic:cNvPicPr>
                      <a:picLocks noChangeAspect="1"/>
                    </pic:cNvPicPr>
                  </pic:nvPicPr>
                  <pic:blipFill>
                    <a:blip r:embed="rId10"/>
                    <a:stretch>
                      <a:fillRect/>
                    </a:stretch>
                  </pic:blipFill>
                  <pic:spPr>
                    <a:xfrm>
                      <a:off x="0" y="0"/>
                      <a:ext cx="5474335" cy="4994275"/>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55285" cy="5589905"/>
            <wp:effectExtent l="0" t="0" r="12065" b="10795"/>
            <wp:docPr id="7" name="图片 8" descr="166432971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1664329712370"/>
                    <pic:cNvPicPr>
                      <a:picLocks noChangeAspect="1"/>
                    </pic:cNvPicPr>
                  </pic:nvPicPr>
                  <pic:blipFill>
                    <a:blip r:embed="rId11"/>
                    <a:stretch>
                      <a:fillRect/>
                    </a:stretch>
                  </pic:blipFill>
                  <pic:spPr>
                    <a:xfrm>
                      <a:off x="0" y="0"/>
                      <a:ext cx="5455285" cy="5589905"/>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67985" cy="4474210"/>
            <wp:effectExtent l="0" t="0" r="18415" b="2540"/>
            <wp:docPr id="12" name="图片 9" descr="166432977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1664329775216"/>
                    <pic:cNvPicPr>
                      <a:picLocks noChangeAspect="1"/>
                    </pic:cNvPicPr>
                  </pic:nvPicPr>
                  <pic:blipFill>
                    <a:blip r:embed="rId12"/>
                    <a:stretch>
                      <a:fillRect/>
                    </a:stretch>
                  </pic:blipFill>
                  <pic:spPr>
                    <a:xfrm>
                      <a:off x="0" y="0"/>
                      <a:ext cx="5467985" cy="4474210"/>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504815" cy="2706370"/>
            <wp:effectExtent l="0" t="0" r="635" b="17780"/>
            <wp:docPr id="3" name="图片 10" descr="1664329827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1664329827641(1)"/>
                    <pic:cNvPicPr>
                      <a:picLocks noChangeAspect="1"/>
                    </pic:cNvPicPr>
                  </pic:nvPicPr>
                  <pic:blipFill>
                    <a:blip r:embed="rId13"/>
                    <a:stretch>
                      <a:fillRect/>
                    </a:stretch>
                  </pic:blipFill>
                  <pic:spPr>
                    <a:xfrm>
                      <a:off x="0" y="0"/>
                      <a:ext cx="5504815" cy="2706370"/>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98465" cy="2597150"/>
            <wp:effectExtent l="0" t="0" r="6985" b="12700"/>
            <wp:docPr id="5" name="图片 11" descr="166432988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1664329884249"/>
                    <pic:cNvPicPr>
                      <a:picLocks noChangeAspect="1"/>
                    </pic:cNvPicPr>
                  </pic:nvPicPr>
                  <pic:blipFill>
                    <a:blip r:embed="rId14"/>
                    <a:stretch>
                      <a:fillRect/>
                    </a:stretch>
                  </pic:blipFill>
                  <pic:spPr>
                    <a:xfrm>
                      <a:off x="0" y="0"/>
                      <a:ext cx="5498465" cy="2597150"/>
                    </a:xfrm>
                    <a:prstGeom prst="rect">
                      <a:avLst/>
                    </a:prstGeom>
                    <a:noFill/>
                    <a:ln>
                      <a:noFill/>
                    </a:ln>
                  </pic:spPr>
                </pic:pic>
              </a:graphicData>
            </a:graphic>
          </wp:inline>
        </w:drawing>
      </w: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r>
        <w:rPr>
          <w:rFonts w:hint="default" w:ascii="宋体" w:hAnsi="宋体"/>
          <w:color w:val="auto"/>
          <w:kern w:val="0"/>
          <w:sz w:val="18"/>
          <w:szCs w:val="24"/>
          <w:lang w:val="zh-CN"/>
        </w:rPr>
        <w:drawing>
          <wp:inline distT="0" distB="0" distL="114300" distR="114300">
            <wp:extent cx="5447030" cy="2688590"/>
            <wp:effectExtent l="0" t="0" r="1270" b="16510"/>
            <wp:docPr id="6" name="图片 12" descr="166433170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1664331704051"/>
                    <pic:cNvPicPr>
                      <a:picLocks noChangeAspect="1"/>
                    </pic:cNvPicPr>
                  </pic:nvPicPr>
                  <pic:blipFill>
                    <a:blip r:embed="rId15"/>
                    <a:stretch>
                      <a:fillRect/>
                    </a:stretch>
                  </pic:blipFill>
                  <pic:spPr>
                    <a:xfrm>
                      <a:off x="0" y="0"/>
                      <a:ext cx="5447030" cy="2688590"/>
                    </a:xfrm>
                    <a:prstGeom prst="rect">
                      <a:avLst/>
                    </a:prstGeom>
                    <a:noFill/>
                    <a:ln>
                      <a:noFill/>
                    </a:ln>
                  </pic:spPr>
                </pic:pic>
              </a:graphicData>
            </a:graphic>
          </wp:inline>
        </w:drawing>
      </w:r>
    </w:p>
    <w:p>
      <w:bookmarkStart w:id="16" w:name="_GoBack"/>
      <w:bookmarkEnd w:id="16"/>
    </w:p>
    <w:sectPr>
      <w:footerReference r:id="rId3"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pStyle w:val="4"/>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2A4F5"/>
    <w:multiLevelType w:val="multilevel"/>
    <w:tmpl w:val="0BA2A4F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mNmMWE4Mzk1YzM4YTc2MmU1ZTA2NTNkYmQzZjcifQ=="/>
  </w:docVars>
  <w:rsids>
    <w:rsidRoot w:val="00000000"/>
    <w:rsid w:val="266C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qFormat="1"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Times New Roman" w:hAnsi="Times New Roman" w:eastAsia="宋体" w:cs="Times New Roman"/>
      <w:kern w:val="2"/>
      <w:sz w:val="21"/>
      <w:szCs w:val="24"/>
    </w:rPr>
  </w:style>
  <w:style w:type="paragraph" w:styleId="2">
    <w:name w:val="heading 1"/>
    <w:basedOn w:val="1"/>
    <w:next w:val="1"/>
    <w:unhideWhenUsed/>
    <w:qFormat/>
    <w:uiPriority w:val="99"/>
    <w:pPr>
      <w:keepNext/>
      <w:keepLines/>
      <w:spacing w:before="340" w:after="330" w:line="576" w:lineRule="auto"/>
      <w:outlineLvl w:val="0"/>
    </w:pPr>
    <w:rPr>
      <w:rFonts w:hint="default" w:eastAsia="黑体"/>
      <w:b/>
      <w:kern w:val="44"/>
      <w:sz w:val="32"/>
      <w:szCs w:val="24"/>
    </w:rPr>
  </w:style>
  <w:style w:type="paragraph" w:styleId="3">
    <w:name w:val="heading 2"/>
    <w:basedOn w:val="1"/>
    <w:next w:val="1"/>
    <w:link w:val="9"/>
    <w:unhideWhenUsed/>
    <w:qFormat/>
    <w:uiPriority w:val="99"/>
    <w:pPr>
      <w:keepNext/>
      <w:keepLines/>
      <w:spacing w:before="260" w:after="260" w:line="413" w:lineRule="auto"/>
      <w:outlineLvl w:val="1"/>
    </w:pPr>
    <w:rPr>
      <w:rFonts w:hint="default" w:ascii="Arial" w:hAnsi="Arial" w:eastAsia="楷体"/>
      <w:b/>
      <w:sz w:val="32"/>
      <w:szCs w:val="2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rFonts w:hint="default"/>
      <w:sz w:val="18"/>
      <w:szCs w:val="24"/>
    </w:rPr>
  </w:style>
  <w:style w:type="paragraph" w:styleId="5">
    <w:name w:val="toc 1"/>
    <w:basedOn w:val="1"/>
    <w:next w:val="1"/>
    <w:unhideWhenUsed/>
    <w:qFormat/>
    <w:uiPriority w:val="99"/>
    <w:rPr>
      <w:rFonts w:hint="default"/>
      <w:sz w:val="21"/>
      <w:szCs w:val="24"/>
    </w:rPr>
  </w:style>
  <w:style w:type="paragraph" w:styleId="6">
    <w:name w:val="toc 2"/>
    <w:basedOn w:val="1"/>
    <w:next w:val="1"/>
    <w:unhideWhenUsed/>
    <w:qFormat/>
    <w:uiPriority w:val="99"/>
    <w:pPr>
      <w:ind w:left="420" w:leftChars="200"/>
    </w:pPr>
    <w:rPr>
      <w:rFonts w:hint="default"/>
      <w:sz w:val="21"/>
      <w:szCs w:val="24"/>
    </w:rPr>
  </w:style>
  <w:style w:type="character" w:customStyle="1" w:styleId="9">
    <w:name w:val="标题 2 Char"/>
    <w:link w:val="3"/>
    <w:unhideWhenUsed/>
    <w:uiPriority w:val="0"/>
    <w:rPr>
      <w:rFonts w:hint="default" w:ascii="Arial" w:hAnsi="Arial" w:eastAsia="楷体"/>
      <w:b/>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2024-02-28T00:52:55Z</dcterms:created>
  <dc:creator>Administrator</dc:creator>
  <cp:lastModifiedBy>叶静</cp:lastModifiedBy>
  <dcterms:modified xsi:type="dcterms:W3CDTF">2024-02-28T00:53:50Z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EFE7566479BD497F85D2B05659FBE2E2_12</vt:lpwstr>
  </property>
</Properties>
</file>