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hint="eastAsia" w:ascii="宋体" w:hAnsi="宋体"/>
          <w:sz w:val="28"/>
          <w:szCs w:val="28"/>
        </w:rPr>
        <w:t>关于加强武义县农村水电站绿色可持续长效管理的实施意见</w:t>
      </w:r>
    </w:p>
    <w:p>
      <w:pPr>
        <w:spacing w:after="156" w:afterLines="50"/>
        <w:jc w:val="center"/>
        <w:rPr>
          <w:rFonts w:ascii="宋体" w:hAnsi="宋体"/>
          <w:sz w:val="28"/>
          <w:szCs w:val="28"/>
        </w:rPr>
      </w:pPr>
      <w:r>
        <w:rPr>
          <w:rFonts w:hint="eastAsia" w:ascii="宋体" w:hAnsi="宋体"/>
          <w:sz w:val="28"/>
          <w:szCs w:val="28"/>
        </w:rPr>
        <w:t>（试行）</w:t>
      </w:r>
    </w:p>
    <w:p>
      <w:pPr>
        <w:ind w:firstLine="560" w:firstLineChars="200"/>
        <w:jc w:val="left"/>
        <w:rPr>
          <w:rFonts w:hint="eastAsia" w:ascii="宋体" w:hAnsi="宋体"/>
          <w:sz w:val="28"/>
          <w:szCs w:val="28"/>
        </w:rPr>
      </w:pPr>
      <w:r>
        <w:rPr>
          <w:rFonts w:hint="eastAsia" w:ascii="宋体" w:hAnsi="宋体"/>
          <w:sz w:val="28"/>
          <w:szCs w:val="28"/>
        </w:rPr>
        <w:t>为巩固小水电清理整改成果，保障水电站运行安全、减少对下游河流的生态环境影响，进一步健全完善农村水电站生态泄流长效监管，引领生态转型与绿色发展，畅通源头活水，维护河流健康生命，按照党中央、国务院生态文明建设决策部署以及省、市有关文件精神，结合我县实际，特制定本实施意见。</w:t>
      </w:r>
    </w:p>
    <w:p>
      <w:pPr>
        <w:ind w:firstLine="372" w:firstLineChars="133"/>
        <w:jc w:val="left"/>
        <w:rPr>
          <w:rFonts w:ascii="宋体" w:hAnsi="宋体"/>
          <w:sz w:val="28"/>
          <w:szCs w:val="28"/>
        </w:rPr>
      </w:pPr>
      <w:r>
        <w:rPr>
          <w:rFonts w:hint="eastAsia" w:ascii="宋体" w:hAnsi="宋体"/>
          <w:sz w:val="28"/>
          <w:szCs w:val="28"/>
        </w:rPr>
        <w:t xml:space="preserve">  一、指导思想</w:t>
      </w:r>
    </w:p>
    <w:p>
      <w:pPr>
        <w:ind w:firstLine="560" w:firstLineChars="200"/>
        <w:rPr>
          <w:rFonts w:hint="eastAsia" w:ascii="宋体" w:hAnsi="宋体"/>
          <w:sz w:val="28"/>
          <w:szCs w:val="28"/>
        </w:rPr>
      </w:pPr>
      <w:r>
        <w:rPr>
          <w:rFonts w:hint="eastAsia" w:ascii="宋体" w:hAnsi="宋体"/>
          <w:sz w:val="28"/>
          <w:szCs w:val="28"/>
        </w:rPr>
        <w:t>以习近平新时代中国特色社会主义思想为引领，贯彻落实党的十九大和省第十四次党代会精神，统筹推进“五位一体”总体布局和协调推进“四个全面”</w:t>
      </w:r>
      <w:bookmarkStart w:id="0" w:name="_GoBack"/>
      <w:bookmarkEnd w:id="0"/>
      <w:r>
        <w:rPr>
          <w:rFonts w:hint="eastAsia" w:ascii="宋体" w:hAnsi="宋体"/>
          <w:sz w:val="28"/>
          <w:szCs w:val="28"/>
        </w:rPr>
        <w:t>战略布局，牢固树立“五大”发展理念，坚持绿水青山就是金山银山，通过生态修复治理、优化运行调度、强化行业监管、引导绿色水电创建等措施，促进我县小水电走出一条生态优先、绿色发展的新路子，全面推动我县绿色水电发展。</w:t>
      </w:r>
    </w:p>
    <w:p>
      <w:pPr>
        <w:ind w:firstLine="512" w:firstLineChars="183"/>
        <w:jc w:val="left"/>
        <w:rPr>
          <w:rFonts w:ascii="宋体" w:hAnsi="宋体"/>
          <w:sz w:val="28"/>
          <w:szCs w:val="28"/>
        </w:rPr>
      </w:pPr>
      <w:r>
        <w:rPr>
          <w:rFonts w:hint="eastAsia" w:ascii="宋体" w:hAnsi="宋体"/>
          <w:sz w:val="28"/>
          <w:szCs w:val="28"/>
        </w:rPr>
        <w:t>二、基本原则</w:t>
      </w:r>
    </w:p>
    <w:p>
      <w:pPr>
        <w:adjustRightInd w:val="0"/>
        <w:snapToGrid w:val="0"/>
        <w:spacing w:line="560" w:lineRule="exact"/>
        <w:ind w:firstLine="560" w:firstLineChars="200"/>
        <w:rPr>
          <w:rFonts w:hint="eastAsia" w:ascii="宋体" w:hAnsi="宋体"/>
          <w:sz w:val="28"/>
          <w:szCs w:val="28"/>
        </w:rPr>
      </w:pPr>
      <w:r>
        <w:rPr>
          <w:rFonts w:hint="eastAsia" w:ascii="宋体" w:hAnsi="宋体"/>
          <w:sz w:val="28"/>
          <w:szCs w:val="28"/>
        </w:rPr>
        <w:t>(一) 落实主体责任，明确职责分工。按照“属地管理”原则</w:t>
      </w:r>
      <w:r>
        <w:rPr>
          <w:rFonts w:ascii="宋体" w:hAnsi="宋体"/>
          <w:sz w:val="28"/>
          <w:szCs w:val="28"/>
        </w:rPr>
        <w:t>和职责分工</w:t>
      </w:r>
      <w:r>
        <w:rPr>
          <w:rFonts w:hint="eastAsia" w:ascii="宋体" w:hAnsi="宋体"/>
          <w:sz w:val="28"/>
          <w:szCs w:val="28"/>
        </w:rPr>
        <w:t>，明确直接责任人、监管责任主体、协助监管责任主体，全方位开展生态泄流监督管理工作。</w:t>
      </w:r>
    </w:p>
    <w:p>
      <w:pPr>
        <w:ind w:firstLine="560" w:firstLineChars="200"/>
        <w:rPr>
          <w:rFonts w:ascii="宋体" w:hAnsi="宋体"/>
          <w:sz w:val="28"/>
          <w:szCs w:val="28"/>
        </w:rPr>
      </w:pPr>
      <w:r>
        <w:rPr>
          <w:rFonts w:hint="eastAsia" w:ascii="宋体" w:hAnsi="宋体"/>
          <w:sz w:val="28"/>
          <w:szCs w:val="28"/>
        </w:rPr>
        <w:t>(二) 坚持生态优先，绿色发展理念。通过小水电站生态泄流</w:t>
      </w:r>
      <w:r>
        <w:rPr>
          <w:rFonts w:ascii="宋体" w:hAnsi="宋体"/>
          <w:sz w:val="28"/>
          <w:szCs w:val="28"/>
        </w:rPr>
        <w:t>引导小水电行业</w:t>
      </w:r>
      <w:r>
        <w:rPr>
          <w:rFonts w:ascii="宋体" w:hAnsi="宋体"/>
          <w:sz w:val="28"/>
          <w:szCs w:val="28"/>
        </w:rPr>
        <w:fldChar w:fldCharType="begin"/>
      </w:r>
      <w:r>
        <w:rPr>
          <w:rFonts w:ascii="宋体" w:hAnsi="宋体"/>
          <w:sz w:val="28"/>
          <w:szCs w:val="28"/>
        </w:rPr>
        <w:instrText xml:space="preserve"> HYPERLINK "https://www.baidu.com/link?url=sSvfYrJ1QLkjJSUdkDBHPW0buj6yP6aJH4YYZNX7NTQ9f81VSOzDRSRgvL1XWPHfeNFe-UWyDUH04KFzaJZm-K&amp;wd=&amp;eqid=86aada910005def4000000045fa20d95" \t "https://www.baidu.com/_blank" </w:instrText>
      </w:r>
      <w:r>
        <w:rPr>
          <w:rFonts w:ascii="宋体" w:hAnsi="宋体"/>
          <w:sz w:val="28"/>
          <w:szCs w:val="28"/>
        </w:rPr>
        <w:fldChar w:fldCharType="separate"/>
      </w:r>
      <w:r>
        <w:rPr>
          <w:rFonts w:ascii="宋体" w:hAnsi="宋体"/>
          <w:sz w:val="28"/>
          <w:szCs w:val="28"/>
        </w:rPr>
        <w:t>绿色转型发展</w:t>
      </w:r>
      <w:r>
        <w:rPr>
          <w:rFonts w:ascii="宋体" w:hAnsi="宋体"/>
          <w:sz w:val="28"/>
          <w:szCs w:val="28"/>
        </w:rPr>
        <w:fldChar w:fldCharType="end"/>
      </w:r>
      <w:r>
        <w:rPr>
          <w:rFonts w:hint="eastAsia" w:ascii="宋体" w:hAnsi="宋体"/>
          <w:sz w:val="28"/>
          <w:szCs w:val="28"/>
        </w:rPr>
        <w:t>，妥善处理小水电开发与河流生态保护的关系,建立生态用水监测技术标准及监测网络，推动小水电生态泄流可持续健康发展。开展绿色小水电示范电站创建，鼓励以流域或区域为单元的示范园（区）建设，通过示范引领，带动水电行业绿色发展。</w:t>
      </w:r>
    </w:p>
    <w:p>
      <w:pPr>
        <w:ind w:firstLine="425" w:firstLineChars="152"/>
        <w:jc w:val="left"/>
        <w:rPr>
          <w:rFonts w:ascii="宋体" w:hAnsi="宋体"/>
          <w:sz w:val="28"/>
          <w:szCs w:val="28"/>
        </w:rPr>
      </w:pPr>
      <w:r>
        <w:rPr>
          <w:rFonts w:hint="eastAsia" w:ascii="宋体" w:hAnsi="宋体"/>
          <w:sz w:val="28"/>
          <w:szCs w:val="28"/>
        </w:rPr>
        <w:t>(三) 坚持长效管理，建立考核体系。根据生态泄流长效机制建立严格考核目标，进一步完善分类考核指标体系，实行生态泄流长效监管“一票否决制”“问责制”和“约谈制”。研究制定农村小水电绿色发展激励机制，加大水电站绿色发展宣传力度，提高业主生态环境保护的责任意识和担当。</w:t>
      </w:r>
      <w:r>
        <w:rPr>
          <w:rFonts w:ascii="宋体" w:hAnsi="宋体"/>
          <w:sz w:val="28"/>
          <w:szCs w:val="28"/>
        </w:rPr>
        <w:t xml:space="preserve"> </w:t>
      </w:r>
    </w:p>
    <w:p>
      <w:pPr>
        <w:ind w:firstLine="560" w:firstLineChars="200"/>
        <w:rPr>
          <w:rFonts w:hint="eastAsia" w:ascii="宋体" w:hAnsi="宋体"/>
          <w:sz w:val="28"/>
          <w:szCs w:val="28"/>
        </w:rPr>
      </w:pPr>
      <w:r>
        <w:rPr>
          <w:rFonts w:hint="eastAsia" w:ascii="宋体" w:hAnsi="宋体"/>
          <w:sz w:val="28"/>
          <w:szCs w:val="28"/>
        </w:rPr>
        <w:t>（四）坚持预防为主、保障安全。全面落实水电站安全生产主体责任，强化安全生产监督，推动水电站提升改造，推进水电站标准化管理和建立老电站安全检测制度，保障水电站安全生产。</w:t>
      </w:r>
    </w:p>
    <w:p>
      <w:pPr>
        <w:ind w:firstLine="560" w:firstLineChars="200"/>
        <w:rPr>
          <w:rFonts w:hint="eastAsia" w:ascii="宋体" w:hAnsi="宋体"/>
          <w:sz w:val="28"/>
          <w:szCs w:val="28"/>
        </w:rPr>
      </w:pPr>
      <w:r>
        <w:rPr>
          <w:rFonts w:hint="eastAsia" w:ascii="宋体" w:hAnsi="宋体"/>
          <w:sz w:val="28"/>
          <w:szCs w:val="28"/>
        </w:rPr>
        <w:t>三、总体目标</w:t>
      </w:r>
    </w:p>
    <w:p>
      <w:pPr>
        <w:ind w:firstLine="560" w:firstLineChars="200"/>
        <w:rPr>
          <w:rFonts w:hint="eastAsia" w:ascii="宋体" w:hAnsi="宋体"/>
          <w:sz w:val="28"/>
          <w:szCs w:val="28"/>
        </w:rPr>
      </w:pPr>
      <w:r>
        <w:rPr>
          <w:rFonts w:hint="eastAsia" w:ascii="宋体" w:hAnsi="宋体"/>
          <w:sz w:val="28"/>
          <w:szCs w:val="28"/>
        </w:rPr>
        <w:t>巩固小水电清理整改成果，强化行业监管，全面落实水电站生态流量泄放，保障河流健康，实施水电站提质增效，规范运行管理，保障安全生产，引领绿色小水电创建，推动水电行业绿色可持续发展。</w:t>
      </w:r>
    </w:p>
    <w:p>
      <w:pPr>
        <w:ind w:firstLine="512" w:firstLineChars="183"/>
        <w:jc w:val="left"/>
        <w:rPr>
          <w:rFonts w:hint="eastAsia" w:ascii="宋体" w:hAnsi="宋体"/>
          <w:sz w:val="28"/>
          <w:szCs w:val="28"/>
        </w:rPr>
      </w:pPr>
      <w:r>
        <w:rPr>
          <w:rFonts w:hint="eastAsia" w:ascii="宋体" w:hAnsi="宋体"/>
          <w:sz w:val="28"/>
          <w:szCs w:val="28"/>
        </w:rPr>
        <w:t>四、生态流量泄放调</w:t>
      </w:r>
      <w:r>
        <w:rPr>
          <w:rFonts w:ascii="宋体" w:hAnsi="宋体"/>
          <w:sz w:val="28"/>
          <w:szCs w:val="28"/>
        </w:rPr>
        <w:t>度</w:t>
      </w:r>
    </w:p>
    <w:p>
      <w:pPr>
        <w:spacing w:line="360" w:lineRule="auto"/>
        <w:ind w:firstLine="560" w:firstLineChars="200"/>
        <w:rPr>
          <w:rFonts w:hint="eastAsia" w:ascii="宋体" w:hAnsi="宋体"/>
          <w:sz w:val="28"/>
          <w:szCs w:val="28"/>
        </w:rPr>
      </w:pPr>
      <w:r>
        <w:rPr>
          <w:rFonts w:hint="eastAsia" w:ascii="宋体" w:hAnsi="宋体"/>
          <w:sz w:val="28"/>
          <w:szCs w:val="28"/>
        </w:rPr>
        <w:t>(一) 小水电站应按照“兴利服从防洪、区域服从流域、电调服从水调”的原则，建立健全干支流域梯级水电站联合调度或协作机制，统筹协调上下游水量蓄泄方式，协同解决好全流域生态用水问题。对于以供水、灌溉功能为主的电站水库，生态流量泄放应优先满足供水、灌溉需求。对于流域梯级开发水电站，应根据首站统筹调度原则，重点保证流域首站生态流量泄放。</w:t>
      </w:r>
    </w:p>
    <w:p>
      <w:pPr>
        <w:ind w:firstLine="425" w:firstLineChars="152"/>
        <w:jc w:val="left"/>
        <w:rPr>
          <w:rFonts w:hint="eastAsia" w:ascii="宋体" w:hAnsi="宋体"/>
          <w:sz w:val="28"/>
          <w:szCs w:val="28"/>
        </w:rPr>
      </w:pPr>
      <w:r>
        <w:rPr>
          <w:rFonts w:hint="eastAsia" w:ascii="宋体" w:hAnsi="宋体"/>
          <w:sz w:val="28"/>
          <w:szCs w:val="28"/>
        </w:rPr>
        <w:t>(二)当小水电站取水处的天然来水流量小于等于核定的生态流量时，天然来水流量应全部泄放；当来水流量小于核定的生态流量与最小引水发电流量之和时，应优先保障生态流量，必要时还应当停止发电。生态流量应保证连续泄放，防洪、抗旱、应急调度等特殊情况下可根据相关要求暂停泄放或分时段泄放。无减脱水段河道水电站可根据总量控制原则分时段泄放。</w:t>
      </w:r>
    </w:p>
    <w:p>
      <w:pPr>
        <w:ind w:firstLine="425" w:firstLineChars="152"/>
        <w:jc w:val="left"/>
        <w:rPr>
          <w:rFonts w:ascii="宋体" w:hAnsi="宋体"/>
          <w:sz w:val="28"/>
          <w:szCs w:val="28"/>
        </w:rPr>
      </w:pPr>
      <w:r>
        <w:rPr>
          <w:rFonts w:hint="eastAsia" w:ascii="宋体" w:hAnsi="宋体"/>
          <w:sz w:val="28"/>
          <w:szCs w:val="28"/>
        </w:rPr>
        <w:t xml:space="preserve"> (三) 对于生态调度所涉及的设施设备较多、有水位控运要求的，宜进行生态调度自动化、智能化改造，由人工操作转变为计算机监控自动化为主，实现“无人值守”，防止生态泄流因外界因素改变发生中断行为。</w:t>
      </w:r>
    </w:p>
    <w:p>
      <w:pPr>
        <w:ind w:firstLine="512" w:firstLineChars="183"/>
        <w:jc w:val="left"/>
        <w:rPr>
          <w:rFonts w:hint="eastAsia" w:ascii="宋体" w:hAnsi="宋体"/>
          <w:sz w:val="28"/>
          <w:szCs w:val="28"/>
        </w:rPr>
      </w:pPr>
      <w:r>
        <w:rPr>
          <w:rFonts w:hint="eastAsia" w:ascii="宋体" w:hAnsi="宋体"/>
          <w:sz w:val="28"/>
          <w:szCs w:val="28"/>
        </w:rPr>
        <w:t>五、运行监督管理</w:t>
      </w:r>
    </w:p>
    <w:p>
      <w:pPr>
        <w:adjustRightInd w:val="0"/>
        <w:snapToGrid w:val="0"/>
        <w:spacing w:line="560" w:lineRule="exact"/>
        <w:ind w:firstLine="560" w:firstLineChars="200"/>
        <w:rPr>
          <w:rFonts w:hint="eastAsia" w:ascii="宋体" w:hAnsi="宋体"/>
          <w:sz w:val="28"/>
          <w:szCs w:val="28"/>
        </w:rPr>
      </w:pPr>
      <w:r>
        <w:rPr>
          <w:rFonts w:hint="eastAsia" w:ascii="宋体" w:hAnsi="宋体"/>
          <w:sz w:val="28"/>
          <w:szCs w:val="28"/>
        </w:rPr>
        <w:t>（一）</w:t>
      </w:r>
      <w:r>
        <w:rPr>
          <w:rFonts w:ascii="宋体" w:hAnsi="宋体"/>
          <w:color w:val="000000"/>
          <w:sz w:val="28"/>
          <w:szCs w:val="28"/>
        </w:rPr>
        <w:t>水行政主管部门是农村水电站生态泄流</w:t>
      </w:r>
      <w:r>
        <w:rPr>
          <w:rFonts w:hint="eastAsia" w:ascii="宋体" w:hAnsi="宋体"/>
          <w:color w:val="000000"/>
          <w:sz w:val="28"/>
          <w:szCs w:val="28"/>
        </w:rPr>
        <w:t>、</w:t>
      </w:r>
      <w:r>
        <w:rPr>
          <w:rFonts w:ascii="宋体" w:hAnsi="宋体"/>
          <w:color w:val="000000"/>
          <w:sz w:val="28"/>
          <w:szCs w:val="28"/>
        </w:rPr>
        <w:t>安全生产监督检查主体，发展改革、生态环境部门按各自职责协助水行政主管部门做好监督检查工作。</w:t>
      </w:r>
      <w:r>
        <w:rPr>
          <w:rFonts w:hint="eastAsia" w:ascii="宋体" w:hAnsi="宋体"/>
          <w:sz w:val="28"/>
          <w:szCs w:val="28"/>
        </w:rPr>
        <w:t>财政</w:t>
      </w:r>
      <w:r>
        <w:rPr>
          <w:rFonts w:ascii="宋体" w:hAnsi="宋体"/>
          <w:color w:val="000000"/>
          <w:sz w:val="28"/>
          <w:szCs w:val="28"/>
        </w:rPr>
        <w:t>部门</w:t>
      </w:r>
      <w:r>
        <w:rPr>
          <w:rFonts w:hint="eastAsia" w:ascii="宋体" w:hAnsi="宋体"/>
          <w:sz w:val="28"/>
          <w:szCs w:val="28"/>
        </w:rPr>
        <w:t>负责生态泄流、</w:t>
      </w:r>
      <w:r>
        <w:rPr>
          <w:rFonts w:ascii="宋体" w:hAnsi="宋体"/>
          <w:color w:val="000000"/>
          <w:sz w:val="28"/>
          <w:szCs w:val="28"/>
        </w:rPr>
        <w:t>安全生产</w:t>
      </w:r>
      <w:r>
        <w:rPr>
          <w:rFonts w:hint="eastAsia" w:ascii="宋体" w:hAnsi="宋体"/>
          <w:sz w:val="28"/>
          <w:szCs w:val="28"/>
        </w:rPr>
        <w:t>相关财政资金的筹措与落实，电业</w:t>
      </w:r>
      <w:r>
        <w:rPr>
          <w:rFonts w:ascii="宋体" w:hAnsi="宋体"/>
          <w:color w:val="000000"/>
          <w:sz w:val="28"/>
          <w:szCs w:val="28"/>
        </w:rPr>
        <w:t>部门</w:t>
      </w:r>
      <w:r>
        <w:rPr>
          <w:rFonts w:hint="eastAsia" w:ascii="宋体" w:hAnsi="宋体"/>
          <w:sz w:val="28"/>
          <w:szCs w:val="28"/>
        </w:rPr>
        <w:t>负责对生态泄流、</w:t>
      </w:r>
      <w:r>
        <w:rPr>
          <w:rFonts w:ascii="宋体" w:hAnsi="宋体"/>
          <w:color w:val="000000"/>
          <w:sz w:val="28"/>
          <w:szCs w:val="28"/>
        </w:rPr>
        <w:t>安全生产</w:t>
      </w:r>
      <w:r>
        <w:rPr>
          <w:rFonts w:hint="eastAsia" w:ascii="宋体" w:hAnsi="宋体"/>
          <w:sz w:val="28"/>
          <w:szCs w:val="28"/>
        </w:rPr>
        <w:t>不达标整改不合格的电站予以解网等工作。</w:t>
      </w:r>
    </w:p>
    <w:p>
      <w:pPr>
        <w:spacing w:line="360" w:lineRule="auto"/>
        <w:ind w:firstLine="560" w:firstLineChars="200"/>
        <w:rPr>
          <w:rFonts w:ascii="宋体" w:hAnsi="宋体"/>
          <w:sz w:val="28"/>
          <w:szCs w:val="28"/>
        </w:rPr>
      </w:pPr>
      <w:r>
        <w:rPr>
          <w:rFonts w:hint="eastAsia" w:ascii="宋体" w:hAnsi="宋体"/>
          <w:sz w:val="28"/>
          <w:szCs w:val="28"/>
        </w:rPr>
        <w:t>（二）水行政主管部门和属地街道、镇、乡人民政府共同对小水电站生态流量泄放、</w:t>
      </w:r>
      <w:r>
        <w:rPr>
          <w:rFonts w:ascii="宋体" w:hAnsi="宋体"/>
          <w:color w:val="000000"/>
          <w:sz w:val="28"/>
          <w:szCs w:val="28"/>
        </w:rPr>
        <w:t>安全生产</w:t>
      </w:r>
      <w:r>
        <w:rPr>
          <w:rFonts w:hint="eastAsia" w:ascii="宋体" w:hAnsi="宋体"/>
          <w:sz w:val="28"/>
          <w:szCs w:val="28"/>
        </w:rPr>
        <w:t>进行监管。按照分级管理原则，乡镇负责对本辖区内的小水电站进行生态流量日常监督管理，协调做好受影响范围内村及乡镇生活、生产、生态用水需求。水行政主管部门是生态泄流、</w:t>
      </w:r>
      <w:r>
        <w:rPr>
          <w:rFonts w:ascii="宋体" w:hAnsi="宋体"/>
          <w:color w:val="000000"/>
          <w:sz w:val="28"/>
          <w:szCs w:val="28"/>
        </w:rPr>
        <w:t>安全生产</w:t>
      </w:r>
      <w:r>
        <w:rPr>
          <w:rFonts w:hint="eastAsia" w:ascii="宋体" w:hAnsi="宋体"/>
          <w:sz w:val="28"/>
          <w:szCs w:val="28"/>
        </w:rPr>
        <w:t>监管责任主体，同时负责相关技术指导工作。</w:t>
      </w:r>
    </w:p>
    <w:p>
      <w:pPr>
        <w:spacing w:line="360" w:lineRule="auto"/>
        <w:rPr>
          <w:rFonts w:hint="eastAsia" w:ascii="宋体" w:hAnsi="宋体"/>
          <w:sz w:val="28"/>
          <w:szCs w:val="28"/>
        </w:rPr>
      </w:pPr>
      <w:r>
        <w:rPr>
          <w:rFonts w:hint="eastAsia" w:ascii="宋体" w:hAnsi="宋体"/>
          <w:sz w:val="28"/>
          <w:szCs w:val="28"/>
        </w:rPr>
        <w:t xml:space="preserve">   </w:t>
      </w:r>
      <w:r>
        <w:rPr>
          <w:rFonts w:hint="eastAsia"/>
          <w:sz w:val="28"/>
          <w:szCs w:val="28"/>
        </w:rPr>
        <w:t>（三）</w:t>
      </w:r>
      <w:r>
        <w:rPr>
          <w:rFonts w:hint="eastAsia" w:ascii="宋体" w:hAnsi="宋体"/>
          <w:sz w:val="28"/>
          <w:szCs w:val="28"/>
        </w:rPr>
        <w:t xml:space="preserve">水行政主管部门应加强水电站生态泄流监管、监管平台建设维护、生态调度相关技术方案研究等。生态泄流监管平台软硬件系统应定期升级改造，在质保期过后，应有专业的服务保障措施。 </w:t>
      </w:r>
    </w:p>
    <w:p>
      <w:pPr>
        <w:pStyle w:val="2"/>
        <w:shd w:val="clear" w:color="auto" w:fill="FFFFFF"/>
        <w:spacing w:before="0" w:beforeAutospacing="0" w:after="0" w:afterAutospacing="0"/>
        <w:ind w:firstLine="351"/>
        <w:rPr>
          <w:rFonts w:cs="Times New Roman"/>
          <w:kern w:val="2"/>
          <w:sz w:val="28"/>
          <w:szCs w:val="28"/>
        </w:rPr>
      </w:pPr>
      <w:r>
        <w:rPr>
          <w:rFonts w:hint="eastAsia"/>
          <w:sz w:val="28"/>
          <w:szCs w:val="28"/>
        </w:rPr>
        <w:t>（四）生态环境和水利等部门应将生态泄流监督管理纳入每年河湖长制工作范围和考核内容，制定重点监管名录，提出重点监管要求，要将生态泄流作为农村水电站取水许可审批和监管、环评审批和流域水环境保护监管、技术更新改造（增效扩容改造）审批的重要前提条件，确保水电站生态泄流落地成效。</w:t>
      </w:r>
    </w:p>
    <w:p>
      <w:pPr>
        <w:ind w:firstLine="565" w:firstLineChars="202"/>
        <w:jc w:val="left"/>
        <w:rPr>
          <w:rFonts w:ascii="宋体" w:hAnsi="宋体"/>
          <w:sz w:val="28"/>
          <w:szCs w:val="28"/>
        </w:rPr>
      </w:pPr>
      <w:r>
        <w:rPr>
          <w:rFonts w:hint="eastAsia" w:ascii="宋体" w:hAnsi="宋体"/>
          <w:sz w:val="28"/>
          <w:szCs w:val="28"/>
        </w:rPr>
        <w:t>（五）生态环境和水利等部门必要时可联合执法，适时采取“四不两直”</w:t>
      </w:r>
      <w:r>
        <w:rPr>
          <w:color w:val="000000"/>
          <w:sz w:val="28"/>
          <w:szCs w:val="28"/>
        </w:rPr>
        <w:t xml:space="preserve"> </w:t>
      </w:r>
      <w:r>
        <w:rPr>
          <w:rFonts w:ascii="宋体" w:hAnsi="宋体"/>
          <w:sz w:val="28"/>
          <w:szCs w:val="28"/>
        </w:rPr>
        <w:t>（不发通知、 不打招呼、不听汇报、不</w:t>
      </w:r>
      <w:r>
        <w:rPr>
          <w:rFonts w:hint="eastAsia" w:ascii="宋体" w:hAnsi="宋体"/>
          <w:sz w:val="28"/>
          <w:szCs w:val="28"/>
        </w:rPr>
        <w:t>用</w:t>
      </w:r>
      <w:r>
        <w:rPr>
          <w:rFonts w:ascii="宋体" w:hAnsi="宋体"/>
          <w:sz w:val="28"/>
          <w:szCs w:val="28"/>
        </w:rPr>
        <w:t>陪同接待，直奔基层、直插现场）</w:t>
      </w:r>
      <w:r>
        <w:rPr>
          <w:rFonts w:hint="eastAsia" w:ascii="宋体" w:hAnsi="宋体"/>
          <w:sz w:val="28"/>
          <w:szCs w:val="28"/>
        </w:rPr>
        <w:t>的方式进行生态泄流行为监督检查，对未严格执行到位的，提出或下发整改要求，限时整改完善。水电站业主应每月开展自查，形成检查台账备查；监管部门每年检查不少于2次，分别从生态泄流设施设备、生态下泄流量、生态泄流监测装置等方面进行监督检查，采用现场查看、台账资料核查、第三方检测、监管平台实时数据监测等方式进行。检查结果应以设施设备是否完整、安全、可靠，生态流量数据是否真实、完整、连续等方面作为基础。</w:t>
      </w:r>
    </w:p>
    <w:p>
      <w:pPr>
        <w:spacing w:after="500" w:line="576" w:lineRule="exact"/>
        <w:rPr>
          <w:rFonts w:hint="eastAsia" w:ascii="宋体" w:hAnsi="宋体" w:cs="宋体"/>
          <w:kern w:val="0"/>
          <w:sz w:val="28"/>
          <w:szCs w:val="28"/>
          <w:lang w:val="zh-TW" w:bidi="zh-TW"/>
        </w:rPr>
      </w:pPr>
      <w:r>
        <w:rPr>
          <w:rFonts w:hint="eastAsia" w:ascii="宋体" w:hAnsi="宋体" w:cs="宋体"/>
          <w:kern w:val="0"/>
          <w:sz w:val="28"/>
          <w:szCs w:val="28"/>
          <w:lang w:val="zh-TW" w:bidi="zh-TW"/>
        </w:rPr>
        <w:t xml:space="preserve"> </w:t>
      </w:r>
      <w:r>
        <w:rPr>
          <w:rFonts w:hint="eastAsia" w:ascii="宋体" w:hAnsi="宋体"/>
          <w:sz w:val="28"/>
          <w:szCs w:val="28"/>
        </w:rPr>
        <w:t>（六）建立农村水电站绿色发展标准化管理体系，通过创建一批“绿色小水电”样板工程引领生态转型与长效发展。引导开展绿色小水电示范电站创建。在清理整改的基础上，对有条件的水电站，鼓励开展绿色小水电示范电站创建，打造一批生态环境优美，周边社会和谐，运行管理规范，经济效益良好的示范水电站。同时以流域或区域为单元，倡导开展绿色水电示范园（区）建设，通过以点带面，以线带面，实现水电行业绿色发展新格局。</w:t>
      </w:r>
    </w:p>
    <w:p>
      <w:pPr>
        <w:spacing w:after="500" w:line="576" w:lineRule="exact"/>
        <w:rPr>
          <w:rFonts w:ascii="宋体" w:hAnsi="宋体" w:cs="宋体"/>
          <w:kern w:val="0"/>
          <w:sz w:val="28"/>
          <w:szCs w:val="28"/>
          <w:lang w:val="zh-TW" w:bidi="zh-TW"/>
        </w:rPr>
      </w:pPr>
      <w:r>
        <w:rPr>
          <w:rFonts w:hint="eastAsia" w:ascii="宋体" w:hAnsi="宋体"/>
          <w:sz w:val="28"/>
          <w:szCs w:val="28"/>
        </w:rPr>
        <w:t>（七）巩固标化管理成果。继续推进水电站安全生产标准化达标评级，规范水电站运行管理，在1000千瓦以上水电站安全生产标准化创建完成的基础上，抓好标准化管理复评工作，鼓励1000千瓦以下水电站开展标准化达标创建工作。推动电站提升改造。以消除安全隐患和提高水能资源利用效率为目标，引导水电站加快设备设施改造步伐，实现提质增效。逐步实现数字化、智能化、智慧化、集约化管理，为实现集中控制、联合调度、“无人值班，少人值守”奠定基础。</w:t>
      </w:r>
    </w:p>
    <w:p>
      <w:pPr>
        <w:ind w:firstLine="560" w:firstLineChars="200"/>
        <w:rPr>
          <w:rFonts w:hint="eastAsia" w:ascii="宋体" w:hAnsi="宋体"/>
          <w:sz w:val="28"/>
          <w:szCs w:val="28"/>
        </w:rPr>
      </w:pPr>
      <w:r>
        <w:rPr>
          <w:rFonts w:hint="eastAsia" w:ascii="宋体" w:hAnsi="宋体"/>
          <w:sz w:val="28"/>
          <w:szCs w:val="28"/>
        </w:rPr>
        <w:t>（八）严格</w:t>
      </w:r>
      <w:r>
        <w:rPr>
          <w:rFonts w:ascii="宋体" w:hAnsi="宋体"/>
          <w:sz w:val="28"/>
          <w:szCs w:val="28"/>
        </w:rPr>
        <w:t>控制</w:t>
      </w:r>
      <w:r>
        <w:rPr>
          <w:rFonts w:hint="eastAsia" w:ascii="宋体" w:hAnsi="宋体"/>
          <w:sz w:val="28"/>
          <w:szCs w:val="28"/>
        </w:rPr>
        <w:t>新建水电站项目审批及</w:t>
      </w:r>
      <w:r>
        <w:rPr>
          <w:rFonts w:ascii="宋体" w:hAnsi="宋体"/>
          <w:sz w:val="28"/>
          <w:szCs w:val="28"/>
        </w:rPr>
        <w:t>验收</w:t>
      </w:r>
      <w:r>
        <w:rPr>
          <w:rFonts w:hint="eastAsia" w:ascii="宋体" w:hAnsi="宋体"/>
          <w:sz w:val="28"/>
          <w:szCs w:val="28"/>
        </w:rPr>
        <w:t>。 新建、扩容改造水电站项目完工，须按相关验收规定通过各个专项验收和竣工验收。</w:t>
      </w:r>
    </w:p>
    <w:p>
      <w:pPr>
        <w:ind w:firstLine="560" w:firstLineChars="200"/>
        <w:rPr>
          <w:rFonts w:hint="eastAsia" w:ascii="宋体" w:hAnsi="宋体"/>
          <w:sz w:val="28"/>
          <w:szCs w:val="28"/>
        </w:rPr>
      </w:pPr>
      <w:r>
        <w:rPr>
          <w:rFonts w:hint="eastAsia" w:ascii="宋体" w:hAnsi="宋体"/>
          <w:sz w:val="28"/>
          <w:szCs w:val="28"/>
        </w:rPr>
        <w:t>六、保障措施</w:t>
      </w:r>
    </w:p>
    <w:p>
      <w:pPr>
        <w:ind w:firstLine="560" w:firstLineChars="200"/>
        <w:rPr>
          <w:rFonts w:hint="eastAsia" w:ascii="宋体" w:hAnsi="宋体"/>
          <w:sz w:val="28"/>
          <w:szCs w:val="28"/>
        </w:rPr>
      </w:pPr>
      <w:r>
        <w:rPr>
          <w:rFonts w:hint="eastAsia" w:ascii="宋体" w:hAnsi="宋体"/>
          <w:sz w:val="28"/>
          <w:szCs w:val="28"/>
        </w:rPr>
        <w:t>（一）加强组织领导。推动小水电绿色发展是一项长期工程，相关部门要加强组织领导，强化协同配合，按照责任分工，研究小水电绿色发展中出现的问题，创新政策措施，倡导绿色发展理念，合力推动小水电绿色发展，充分发挥小水电在生态保护、节能减排、乡村振兴方面的积极作用。</w:t>
      </w:r>
    </w:p>
    <w:p>
      <w:pPr>
        <w:ind w:firstLine="560" w:firstLineChars="200"/>
        <w:rPr>
          <w:rFonts w:hint="eastAsia" w:ascii="宋体" w:hAnsi="宋体"/>
          <w:sz w:val="28"/>
          <w:szCs w:val="28"/>
        </w:rPr>
      </w:pPr>
      <w:r>
        <w:rPr>
          <w:rFonts w:hint="eastAsia" w:ascii="宋体" w:hAnsi="宋体"/>
          <w:sz w:val="28"/>
          <w:szCs w:val="28"/>
        </w:rPr>
        <w:t>（二）强化政策支撑。小水电是可再生能源，对水电站发电量全额收购，对技改增容水电站按照规定提高水电综合上网电价，对通过绿色水电示范电站评审、安全生产标准化评审的水电站给予一次性奖励资金。在水电站生态调度运行补偿、推动改造保障安全、推动绿色发展方面出台支持政策或优惠措施。</w:t>
      </w:r>
    </w:p>
    <w:p>
      <w:pPr>
        <w:ind w:firstLine="372" w:firstLineChars="133"/>
        <w:jc w:val="left"/>
        <w:rPr>
          <w:rFonts w:hint="eastAsia" w:ascii="宋体" w:hAnsi="宋体"/>
          <w:sz w:val="28"/>
          <w:szCs w:val="28"/>
        </w:rPr>
      </w:pPr>
      <w:r>
        <w:rPr>
          <w:rFonts w:hint="eastAsia" w:ascii="宋体" w:hAnsi="宋体"/>
          <w:sz w:val="28"/>
          <w:szCs w:val="28"/>
        </w:rPr>
        <w:t xml:space="preserve">（三）增强公众参与。引导社会参与推动和监督小水电绿色发展，充分发挥水电行业协会等社会团体在政策研究、信息交流方面的作用，引导公众参与对水电站管理工作监督，对水电站安全责任人信息、 </w:t>
      </w:r>
    </w:p>
    <w:p>
      <w:pPr>
        <w:rPr>
          <w:rFonts w:ascii="宋体" w:hAnsi="宋体"/>
          <w:sz w:val="28"/>
          <w:szCs w:val="28"/>
        </w:rPr>
      </w:pPr>
      <w:r>
        <w:rPr>
          <w:rFonts w:hint="eastAsia" w:ascii="宋体" w:hAnsi="宋体"/>
          <w:sz w:val="28"/>
          <w:szCs w:val="28"/>
        </w:rPr>
        <w:t>生态需水检测数据等信息依法公开，保障公众知情权，增强公众参与度。</w:t>
      </w:r>
    </w:p>
    <w:p>
      <w:pPr>
        <w:ind w:firstLine="700" w:firstLineChars="250"/>
        <w:jc w:val="left"/>
        <w:rPr>
          <w:rFonts w:hint="eastAsia" w:ascii="宋体" w:hAnsi="宋体"/>
          <w:sz w:val="28"/>
          <w:szCs w:val="28"/>
        </w:rPr>
      </w:pPr>
      <w:r>
        <w:rPr>
          <w:rFonts w:hint="eastAsia"/>
          <w:sz w:val="28"/>
          <w:szCs w:val="28"/>
          <w:lang w:eastAsia="zh-CN"/>
        </w:rPr>
        <w:t>七</w:t>
      </w:r>
      <w:r>
        <w:rPr>
          <w:sz w:val="28"/>
          <w:szCs w:val="28"/>
        </w:rPr>
        <w:t>、</w:t>
      </w:r>
      <w:r>
        <w:rPr>
          <w:rFonts w:hint="eastAsia"/>
          <w:sz w:val="28"/>
          <w:szCs w:val="28"/>
        </w:rPr>
        <w:t>本实施</w:t>
      </w:r>
      <w:r>
        <w:rPr>
          <w:sz w:val="28"/>
          <w:szCs w:val="28"/>
        </w:rPr>
        <w:t>意见</w:t>
      </w:r>
      <w:r>
        <w:rPr>
          <w:rFonts w:hint="eastAsia"/>
          <w:sz w:val="28"/>
          <w:szCs w:val="28"/>
        </w:rPr>
        <w:t>自发文之日起三十日后试行，由武义县水务局负责解释。</w:t>
      </w:r>
      <w:r>
        <w:rPr>
          <w:rFonts w:hint="eastAsia" w:ascii="宋体" w:hAnsi="宋体"/>
          <w:sz w:val="28"/>
          <w:szCs w:val="28"/>
        </w:rPr>
        <w:t xml:space="preserve"> </w:t>
      </w:r>
    </w:p>
    <w:p>
      <w:pPr>
        <w:ind w:firstLine="372" w:firstLineChars="133"/>
        <w:jc w:val="left"/>
        <w:rPr>
          <w:rFonts w:ascii="宋体" w:hAnsi="宋体"/>
          <w:sz w:val="28"/>
          <w:szCs w:val="28"/>
        </w:rPr>
      </w:pPr>
    </w:p>
    <w:p>
      <w:pPr>
        <w:jc w:val="center"/>
        <w:rPr>
          <w:rFonts w:hint="eastAsia"/>
          <w:sz w:val="28"/>
          <w:szCs w:val="28"/>
        </w:rPr>
      </w:pPr>
    </w:p>
    <w:p>
      <w:pPr>
        <w:tabs>
          <w:tab w:val="left" w:pos="2940"/>
          <w:tab w:val="center" w:pos="4153"/>
        </w:tabs>
        <w:jc w:val="left"/>
        <w:rPr>
          <w:rFonts w:hint="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zQ4OTlmMjI3MTIxNjQ5Njg0NjA2NDQ3MGIyZDYifQ=="/>
  </w:docVars>
  <w:rsids>
    <w:rsidRoot w:val="195B76B5"/>
    <w:rsid w:val="0B4E061A"/>
    <w:rsid w:val="195B76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2020-11-26T04:25:00Z</dcterms:created>
  <dc:creator>Administrator</dc:creator>
  <cp:lastModifiedBy>☞ZHAO</cp:lastModifiedBy>
  <dcterms:modified xsi:type="dcterms:W3CDTF">2024-01-29T01:17:26Z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0BC953DE3A144015B09C009E00FDF34F_12</vt:lpwstr>
  </property>
</Properties>
</file>