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F7" w:rsidRDefault="00355EF7" w:rsidP="00355EF7">
      <w:pPr>
        <w:spacing w:line="54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sz w:val="30"/>
          <w:szCs w:val="30"/>
        </w:rPr>
        <w:t>：</w:t>
      </w:r>
    </w:p>
    <w:p w:rsidR="00355EF7" w:rsidRDefault="00355EF7" w:rsidP="00355EF7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44"/>
          <w:szCs w:val="44"/>
        </w:rPr>
        <w:t>武义县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年城区小学学区调整方案</w:t>
      </w:r>
    </w:p>
    <w:bookmarkEnd w:id="0"/>
    <w:p w:rsidR="00355EF7" w:rsidRDefault="00355EF7" w:rsidP="00355EF7">
      <w:pPr>
        <w:spacing w:line="5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一、背景</w:t>
      </w:r>
    </w:p>
    <w:p w:rsidR="00355EF7" w:rsidRDefault="00355EF7" w:rsidP="00355EF7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城区小学布局调整。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学期壶山小学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新城校区和实验小学武川校区投入使用，今年还将启动实验小学栖霞校区新建工程，并于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年完工。随着城区小学布局调整，需要重新划分城区小学学区，进行生源和教育资源再分配，为高起点办好新校区夯实基础。</w:t>
      </w:r>
    </w:p>
    <w:p w:rsidR="00355EF7" w:rsidRDefault="00355EF7" w:rsidP="00355EF7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城区适龄儿童人口激增。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如按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原学区招生，今明两年，实验小学需招新生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个班、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个班；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壶山小学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需招新生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个班、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个班。因近多年来超规模办学，现已经没有扩班空间。今年完成城区小学学区调整，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将壶山小学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和实验小学的生源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向壶山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小学新城小学校区、实验小学武川校区、实验小学栖霞校区分流，是应对今明两年城区小学入学高峰必要举措。</w:t>
      </w:r>
    </w:p>
    <w:p w:rsidR="00355EF7" w:rsidRDefault="00355EF7" w:rsidP="00355EF7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shd w:val="clear" w:color="auto" w:fill="FFFFFF"/>
        </w:rPr>
        <w:t>促进城区小学优质均衡发展。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学校办学规模不超过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人，是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全国义务教育优质均衡发展县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评估和省现代化学校评估的前置条件，是教育现代化水平监测的重要指标。目前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壶山小学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、实验小学、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熟溪小学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在校生分别达到</w:t>
      </w:r>
      <w:r>
        <w:rPr>
          <w:rFonts w:ascii="Times New Roman" w:eastAsia="仿宋_GB2312" w:hAnsi="Times New Roman" w:cs="Times New Roman"/>
          <w:sz w:val="32"/>
          <w:szCs w:val="32"/>
        </w:rPr>
        <w:t>3014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3264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人，均严重超规模办学。通过学区调整，既能缩小三所学校的招生规模，又能促进城区小学生源均衡，落实集团化管理举措，实现城区小学优质均衡发展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二、原则</w:t>
      </w:r>
    </w:p>
    <w:p w:rsidR="00355EF7" w:rsidRDefault="00355EF7" w:rsidP="00355EF7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lastRenderedPageBreak/>
        <w:t>1</w:t>
      </w:r>
      <w:r>
        <w:rPr>
          <w:rFonts w:ascii="Times New Roman" w:eastAsia="仿宋_GB2312" w:hAnsi="Times New Roman" w:cs="Times New Roman"/>
          <w:b/>
          <w:bCs/>
          <w:kern w:val="0"/>
          <w:sz w:val="31"/>
          <w:szCs w:val="31"/>
          <w:shd w:val="clear" w:color="auto" w:fill="FFFFFF"/>
        </w:rPr>
        <w:t>.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1"/>
          <w:szCs w:val="31"/>
          <w:shd w:val="clear" w:color="auto" w:fill="FFFFFF"/>
        </w:rPr>
        <w:t>坚持</w:t>
      </w:r>
      <w:r>
        <w:rPr>
          <w:rFonts w:ascii="Times New Roman" w:eastAsia="仿宋_GB2312" w:hAnsi="Times New Roman" w:cs="Times New Roman"/>
          <w:b/>
          <w:bCs/>
          <w:kern w:val="0"/>
          <w:sz w:val="31"/>
          <w:szCs w:val="31"/>
          <w:shd w:val="clear" w:color="auto" w:fill="FFFFFF"/>
        </w:rPr>
        <w:t>“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1"/>
          <w:szCs w:val="31"/>
          <w:shd w:val="clear" w:color="auto" w:fill="FFFFFF"/>
        </w:rPr>
        <w:t>相对就近，划片招生</w:t>
      </w:r>
      <w:r>
        <w:rPr>
          <w:rFonts w:ascii="Times New Roman" w:eastAsia="仿宋_GB2312" w:hAnsi="Times New Roman" w:cs="Times New Roman"/>
          <w:b/>
          <w:bCs/>
          <w:kern w:val="0"/>
          <w:sz w:val="31"/>
          <w:szCs w:val="31"/>
          <w:shd w:val="clear" w:color="auto" w:fill="FFFFFF"/>
        </w:rPr>
        <w:t>”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1"/>
          <w:szCs w:val="31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1"/>
          <w:szCs w:val="31"/>
          <w:shd w:val="clear" w:color="auto" w:fill="FFFFFF"/>
        </w:rPr>
        <w:t>鉴于我县城区人口分布和学校布局不均匀性、街区形状不规则性等情况，就近入学并不意味着直线距离最近入学。充分考虑可能影响教育公平的各关键要素基础上，确定相对科学的学区划分规则，确保适龄儿童少年整体上相对就近入学。</w:t>
      </w:r>
    </w:p>
    <w:p w:rsidR="00355EF7" w:rsidRDefault="00355EF7" w:rsidP="00355EF7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坚持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促进均衡，共同发展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考虑各校的办学规模，确保生源数量上相对均衡，与学校设计规模相对匹配。通过融合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型教共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体（集团化办学）等方式，均衡配置各校师资，扩大优质资源覆盖面，高起点办好新校区，促进城区教育集团各校区均衡发展。</w:t>
      </w:r>
    </w:p>
    <w:p w:rsidR="00355EF7" w:rsidRDefault="00355EF7" w:rsidP="00355EF7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坚持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基本稳定，动态调整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学区确定后，在一段时期内保持相对稳定。但鉴于未来学校布局可能的变化，部分区域可能还需在今后几年内动态调整。</w:t>
      </w: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三、划分范围</w:t>
      </w: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根据今后三年城区小学入学需求，教育局组织了学校、教办、街道（及履坦镇）等多个层面调研，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统筹考虑我县城市发展、人口分布、学校办学条件等综合因素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，形成了以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街道、社区（村）为界进行划分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的方案。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879"/>
        <w:gridCol w:w="4900"/>
      </w:tblGrid>
      <w:tr w:rsidR="00355EF7" w:rsidTr="00355EF7">
        <w:trPr>
          <w:trHeight w:val="55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7" w:rsidRDefault="00355EF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校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学区范围</w:t>
            </w:r>
          </w:p>
        </w:tc>
      </w:tr>
      <w:tr w:rsidR="00355EF7" w:rsidTr="00355EF7">
        <w:trPr>
          <w:trHeight w:val="77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壶山小学</w:t>
            </w:r>
            <w:proofErr w:type="gramEnd"/>
          </w:p>
          <w:p w:rsidR="00355EF7" w:rsidRDefault="00355EF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教育集团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壶山校区</w:t>
            </w:r>
            <w:proofErr w:type="gram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齐心社区、金星社区、星光社区、南丰社区、中南社区、西溪村</w:t>
            </w:r>
          </w:p>
        </w:tc>
      </w:tr>
      <w:tr w:rsidR="00355EF7" w:rsidTr="00355EF7">
        <w:trPr>
          <w:trHeight w:val="79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新城校区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塔山社区、北岭社区、</w:t>
            </w:r>
          </w:p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履坦镇户籍生</w:t>
            </w:r>
          </w:p>
        </w:tc>
      </w:tr>
      <w:tr w:rsidR="00355EF7" w:rsidTr="00355EF7">
        <w:trPr>
          <w:trHeight w:val="72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实验小学</w:t>
            </w:r>
          </w:p>
          <w:p w:rsidR="00355EF7" w:rsidRDefault="00355EF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教育集团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武川校区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熟溪社区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、端村、冷水坑、福源、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洞村、红豆村、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佐溪村</w:t>
            </w:r>
            <w:proofErr w:type="gramEnd"/>
          </w:p>
        </w:tc>
      </w:tr>
      <w:tr w:rsidR="00355EF7" w:rsidTr="00355EF7">
        <w:trPr>
          <w:trHeight w:val="829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梅郎校区</w:t>
            </w:r>
            <w:proofErr w:type="gram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溪南社区、江山社区</w:t>
            </w:r>
          </w:p>
        </w:tc>
      </w:tr>
      <w:tr w:rsidR="00355EF7" w:rsidTr="00355EF7">
        <w:trPr>
          <w:trHeight w:val="651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栖霞校区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7" w:rsidRDefault="00355EF7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栖霞社区、南湖村、溪里、先胜、水碓后、金村、甘塔、蜈蚣形、塘里</w:t>
            </w:r>
          </w:p>
        </w:tc>
      </w:tr>
    </w:tbl>
    <w:p w:rsidR="00355EF7" w:rsidRDefault="00355EF7" w:rsidP="00355EF7">
      <w:pPr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四、配套举措</w:t>
      </w: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实行紧密型集团化办学模式，打通管理团队和师资队伍，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集团内六年级毕业后的班主任、人才引进的优秀教师、进城考入教师进行均衡分配后统筹使用。</w:t>
      </w:r>
    </w:p>
    <w:p w:rsidR="00355EF7" w:rsidRDefault="00355EF7" w:rsidP="00355EF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shd w:val="clear" w:color="auto" w:fill="FFFFFF"/>
        </w:rPr>
        <w:t>由于学区调整导致多孩家庭子女不在同一校区的实际情况，根据学校办学规模及生源类别，结合家长意愿实施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shd w:val="clear" w:color="auto" w:fill="FFFFFF"/>
        </w:rPr>
        <w:t>长幼同校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shd w:val="clear" w:color="auto" w:fill="FFFFFF"/>
        </w:rPr>
        <w:t>政策，具体办法另行公布。</w:t>
      </w:r>
    </w:p>
    <w:p w:rsidR="00355EF7" w:rsidRDefault="00355EF7" w:rsidP="00355EF7">
      <w:pPr>
        <w:spacing w:line="54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6734D0" w:rsidRPr="00355EF7" w:rsidRDefault="006734D0">
      <w:pPr>
        <w:rPr>
          <w:rFonts w:hint="eastAsia"/>
        </w:rPr>
      </w:pPr>
    </w:p>
    <w:sectPr w:rsidR="006734D0" w:rsidRPr="00355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3"/>
    <w:rsid w:val="00355EF7"/>
    <w:rsid w:val="006734D0"/>
    <w:rsid w:val="00A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2022-05-10T01:18:00Z</dcterms:created>
  <dcterms:modified xsi:type="dcterms:W3CDTF">2022-05-10T01:18:00Z</dcterms:modified>
</cp:coreProperties>
</file>