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964"/>
        <w:jc w:val="center"/>
        <w:rPr>
          <w:rFonts w:hint="default" w:ascii="Times New Roman" w:hAnsi="Times New Roman" w:eastAsia="仿宋_GB2312" w:cs="Times New Roman"/>
          <w:b/>
          <w:sz w:val="48"/>
        </w:rPr>
      </w:pPr>
      <w:r>
        <w:rPr>
          <w:rFonts w:hint="default" w:ascii="Times New Roman" w:hAnsi="Times New Roman" w:eastAsia="仿宋_GB2312" w:cs="Times New Roman"/>
          <w:b/>
          <w:sz w:val="48"/>
        </w:rPr>
        <w:t>武义县工业固体废物</w:t>
      </w:r>
    </w:p>
    <w:p>
      <w:pPr>
        <w:ind w:firstLine="964"/>
        <w:jc w:val="center"/>
        <w:rPr>
          <w:rFonts w:hint="default" w:ascii="Times New Roman" w:hAnsi="Times New Roman" w:eastAsia="仿宋_GB2312" w:cs="Times New Roman"/>
          <w:b/>
          <w:sz w:val="48"/>
        </w:rPr>
      </w:pPr>
      <w:r>
        <w:rPr>
          <w:rFonts w:hint="default" w:ascii="Times New Roman" w:hAnsi="Times New Roman" w:eastAsia="仿宋_GB2312" w:cs="Times New Roman"/>
          <w:b/>
          <w:sz w:val="48"/>
        </w:rPr>
        <w:t>污染环境防治工作“十四五”规划</w:t>
      </w:r>
    </w:p>
    <w:p>
      <w:pPr>
        <w:jc w:val="center"/>
        <w:rPr>
          <w:rFonts w:hint="default" w:ascii="Times New Roman" w:hAnsi="Times New Roman" w:eastAsia="仿宋_GB2312" w:cs="Times New Roman"/>
          <w:b/>
          <w:sz w:val="48"/>
          <w:szCs w:val="44"/>
        </w:rPr>
      </w:pPr>
      <w:r>
        <w:rPr>
          <w:rFonts w:hint="default" w:ascii="Times New Roman" w:hAnsi="Times New Roman" w:eastAsia="仿宋_GB2312" w:cs="Times New Roman"/>
          <w:b/>
          <w:sz w:val="48"/>
          <w:szCs w:val="44"/>
        </w:rPr>
        <w:t>（2022-2025</w:t>
      </w:r>
      <w:r>
        <w:rPr>
          <w:rFonts w:hint="default" w:ascii="Times New Roman" w:hAnsi="Times New Roman" w:eastAsia="仿宋_GB2312" w:cs="Times New Roman"/>
          <w:b/>
          <w:bCs w:val="0"/>
          <w:kern w:val="0"/>
          <w:sz w:val="48"/>
          <w:szCs w:val="24"/>
          <w:lang w:val="en-US" w:eastAsia="zh-CN" w:bidi="ar-SA"/>
        </w:rPr>
        <w:t>年</w:t>
      </w:r>
      <w:r>
        <w:rPr>
          <w:rFonts w:hint="default" w:ascii="Times New Roman" w:hAnsi="Times New Roman" w:eastAsia="仿宋_GB2312" w:cs="Times New Roman"/>
          <w:b/>
          <w:sz w:val="48"/>
          <w:szCs w:val="44"/>
        </w:rPr>
        <w:t>）</w:t>
      </w:r>
    </w:p>
    <w:p>
      <w:pPr>
        <w:pStyle w:val="6"/>
        <w:jc w:val="center"/>
        <w:rPr>
          <w:rFonts w:hint="default" w:ascii="Times New Roman" w:hAnsi="Times New Roman" w:eastAsia="仿宋_GB2312" w:cs="Times New Roman"/>
          <w:b/>
          <w:bCs w:val="0"/>
          <w:kern w:val="0"/>
          <w:sz w:val="48"/>
          <w:szCs w:val="24"/>
          <w:lang w:val="en-US" w:eastAsia="zh-CN" w:bidi="ar-SA"/>
        </w:rPr>
      </w:pPr>
      <w:r>
        <w:rPr>
          <w:rFonts w:hint="eastAsia" w:cs="Times New Roman"/>
          <w:b/>
          <w:bCs w:val="0"/>
          <w:kern w:val="0"/>
          <w:sz w:val="48"/>
          <w:szCs w:val="24"/>
          <w:lang w:val="en-US" w:eastAsia="zh-CN" w:bidi="ar-SA"/>
        </w:rPr>
        <w:t>规划</w:t>
      </w:r>
      <w:r>
        <w:rPr>
          <w:rFonts w:hint="default" w:ascii="Times New Roman" w:hAnsi="Times New Roman" w:eastAsia="仿宋_GB2312" w:cs="Times New Roman"/>
          <w:b/>
          <w:bCs w:val="0"/>
          <w:kern w:val="0"/>
          <w:sz w:val="48"/>
          <w:szCs w:val="24"/>
          <w:lang w:val="en-US" w:eastAsia="zh-CN" w:bidi="ar-SA"/>
        </w:rPr>
        <w:t>解读</w:t>
      </w: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为深入贯彻党的二十大精神，落实《中华人民共和国固体废物污染环境防治法》的要求，积极开展“无废城市”建设，全面分析武义县工业固体废物污染防治工作的现状和存在问题，切实保障环境安全和人民群众健康，为实现碳达峰碳中和、共建共同富裕、建设“重要窗口”贡献更多“武义力量”。</w:t>
      </w:r>
    </w:p>
    <w:p>
      <w:pPr>
        <w:pStyle w:val="6"/>
        <w:ind w:left="0" w:leftChars="0" w:firstLine="562" w:firstLineChars="200"/>
        <w:rPr>
          <w:rFonts w:hint="eastAsia"/>
          <w:b/>
          <w:bCs w:val="0"/>
          <w:i w:val="0"/>
          <w:iCs w:val="0"/>
          <w:lang w:val="en-US" w:eastAsia="zh-CN"/>
        </w:rPr>
      </w:pPr>
      <w:r>
        <w:rPr>
          <w:rFonts w:hint="eastAsia"/>
          <w:b/>
          <w:bCs w:val="0"/>
          <w:i w:val="0"/>
          <w:iCs w:val="0"/>
          <w:lang w:val="en-US" w:eastAsia="zh-CN"/>
        </w:rPr>
        <w:t>一、现实基础</w:t>
      </w:r>
    </w:p>
    <w:p>
      <w:pPr>
        <w:pStyle w:val="6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（一）工作成效回顾</w:t>
      </w:r>
    </w:p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>1、</w:t>
      </w:r>
      <w:r>
        <w:rPr>
          <w:rFonts w:hint="default"/>
          <w:b/>
          <w:bCs/>
          <w:lang w:val="en-US" w:eastAsia="zh-CN"/>
        </w:rPr>
        <w:t>固体废物管理能力全面提升</w:t>
      </w:r>
      <w:r>
        <w:rPr>
          <w:rFonts w:hint="eastAsia"/>
          <w:b/>
          <w:bCs/>
          <w:lang w:val="en-US" w:eastAsia="zh-CN"/>
        </w:rPr>
        <w:t>：</w:t>
      </w:r>
      <w:r>
        <w:rPr>
          <w:rFonts w:hint="eastAsia"/>
          <w:lang w:val="en-US" w:eastAsia="zh-CN"/>
        </w:rPr>
        <w:t>扎实开展危废治理专项行动，提升企业危险废物规范化管理水平，推进尾矿库污染整治，加快推动工业园区绿色循环升级，加强技术突破、标准引领、示范推广，创新发展“互联网+”固废处理产业。</w:t>
      </w:r>
    </w:p>
    <w:p>
      <w:pPr>
        <w:pStyle w:val="6"/>
        <w:rPr>
          <w:rFonts w:hint="eastAsia" w:cs="Times New Roman"/>
          <w:b w:val="0"/>
          <w:bCs w:val="0"/>
          <w:lang w:eastAsia="zh-CN"/>
        </w:rPr>
      </w:pPr>
      <w:r>
        <w:rPr>
          <w:rFonts w:hint="eastAsia" w:cs="Times New Roman"/>
          <w:b/>
          <w:bCs/>
          <w:lang w:val="en-US" w:eastAsia="zh-CN"/>
        </w:rPr>
        <w:t>2、</w:t>
      </w:r>
      <w:r>
        <w:rPr>
          <w:rFonts w:cs="Times New Roman"/>
          <w:b/>
          <w:bCs/>
        </w:rPr>
        <w:t>固废利用处置水平显著增强</w:t>
      </w:r>
      <w:r>
        <w:rPr>
          <w:rFonts w:hint="eastAsia" w:cs="Times New Roman"/>
          <w:b/>
          <w:bCs/>
          <w:lang w:eastAsia="zh-CN"/>
        </w:rPr>
        <w:t>：</w:t>
      </w:r>
      <w:r>
        <w:rPr>
          <w:rFonts w:hint="eastAsia" w:cs="Times New Roman"/>
          <w:b w:val="0"/>
          <w:bCs w:val="0"/>
          <w:lang w:eastAsia="zh-CN"/>
        </w:rPr>
        <w:t>持续提升固体废物终端利用处置能力，积极探索新路径破解危废处置难题，大力推进废弃物综合利用，</w:t>
      </w:r>
      <w:r>
        <w:rPr>
          <w:rFonts w:hint="eastAsia" w:cs="Times New Roman"/>
          <w:b w:val="0"/>
          <w:bCs w:val="0"/>
          <w:lang w:val="en-US" w:eastAsia="zh-CN"/>
        </w:rPr>
        <w:t>推进垃圾处理、危废处置等重点项目</w:t>
      </w:r>
      <w:r>
        <w:rPr>
          <w:rFonts w:hint="eastAsia" w:cs="Times New Roman"/>
          <w:b w:val="0"/>
          <w:bCs w:val="0"/>
          <w:lang w:eastAsia="zh-CN"/>
        </w:rPr>
        <w:t>。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3、“无废城市”建设工作成效突出：</w:t>
      </w:r>
      <w:r>
        <w:rPr>
          <w:rFonts w:hint="eastAsia"/>
          <w:b w:val="0"/>
          <w:bCs w:val="0"/>
          <w:lang w:val="en-US" w:eastAsia="zh-CN"/>
        </w:rPr>
        <w:t>强化目标任务监督管理，开发一般工业固废收运处置信息平台建设，强化固体废物管理制度建设，有序推进“无废城市”建设，持续开展“无废”系列宣传和主题活动。</w:t>
      </w:r>
    </w:p>
    <w:p>
      <w:pPr>
        <w:pStyle w:val="6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（二）存在问题</w:t>
      </w:r>
    </w:p>
    <w:p>
      <w:pPr>
        <w:pStyle w:val="6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一般工业固废收运体系建设亟待推进、工业固废资源化利用能力有待提升、工业固废监管体系有待进一步健全、政策支持固废力度有待进一步加大、部门协调共管能力有待进一步提升</w:t>
      </w: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（三）规划期发展机遇</w:t>
      </w:r>
    </w:p>
    <w:p>
      <w:pPr>
        <w:pStyle w:val="6"/>
        <w:numPr>
          <w:ilvl w:val="0"/>
          <w:numId w:val="1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经济发展加速转型，武义争当山区县跨越式高质量发展排头兵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政策风向提供新机遇</w:t>
      </w:r>
      <w:r>
        <w:rPr>
          <w:rFonts w:hint="eastAsia"/>
          <w:lang w:val="en-US" w:eastAsia="zh-CN"/>
        </w:rPr>
        <w:t>，美丽浙江建设为武义走绿色发展之路指明了前进方向</w:t>
      </w:r>
    </w:p>
    <w:p>
      <w:pPr>
        <w:pStyle w:val="6"/>
        <w:numPr>
          <w:ilvl w:val="0"/>
          <w:numId w:val="1"/>
        </w:numPr>
        <w:ind w:left="0" w:leftChars="0" w:firstLine="560" w:firstLineChars="20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“无废城市”建设面临新形势，打造“无废武义”金字招牌</w:t>
      </w:r>
    </w:p>
    <w:p>
      <w:pPr>
        <w:numPr>
          <w:ilvl w:val="0"/>
          <w:numId w:val="1"/>
        </w:numPr>
        <w:ind w:left="0" w:leftChars="0" w:firstLine="560" w:firstLineChars="20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工业固体废物监管全面加强</w:t>
      </w:r>
      <w:r>
        <w:rPr>
          <w:rFonts w:hint="eastAsia"/>
          <w:lang w:val="en-US" w:eastAsia="zh-CN"/>
        </w:rPr>
        <w:t>，进一步完善固废监管体系建设</w:t>
      </w:r>
    </w:p>
    <w:p>
      <w:pPr>
        <w:pStyle w:val="6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二、总体要求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</w:t>
      </w:r>
      <w:r>
        <w:rPr>
          <w:rFonts w:hint="default"/>
          <w:b/>
          <w:bCs/>
          <w:lang w:val="en-US" w:eastAsia="zh-CN"/>
        </w:rPr>
        <w:t>指导思想</w:t>
      </w:r>
    </w:p>
    <w:p>
      <w:pPr>
        <w:pStyle w:val="6"/>
        <w:jc w:val="both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以习近平生态文明思想为指导，全面贯彻落实中国共产党第二十次全国代表大会、浙江省第十五次党代会及金华市第八次党代会精神，坚持绿水青山就是金山银山的理念，污染防治攻坚向纵深推进，绿色、循环、低碳发展迈出坚实步伐，围绕“</w:t>
      </w:r>
      <w:r>
        <w:rPr>
          <w:rFonts w:hint="default"/>
          <w:b/>
          <w:bCs w:val="0"/>
          <w:lang w:val="en-US" w:eastAsia="zh-CN"/>
        </w:rPr>
        <w:t>减量化、资源化、无害化</w:t>
      </w:r>
      <w:r>
        <w:rPr>
          <w:rFonts w:hint="default"/>
          <w:lang w:val="en-US" w:eastAsia="zh-CN"/>
        </w:rPr>
        <w:t>”目标，聚焦问题短板，以</w:t>
      </w:r>
      <w:r>
        <w:rPr>
          <w:rFonts w:hint="default"/>
          <w:b/>
          <w:bCs w:val="0"/>
          <w:lang w:val="en-US" w:eastAsia="zh-CN"/>
        </w:rPr>
        <w:t>减污降碳协同增效</w:t>
      </w:r>
      <w:r>
        <w:rPr>
          <w:rFonts w:hint="default"/>
          <w:lang w:val="en-US" w:eastAsia="zh-CN"/>
        </w:rPr>
        <w:t>为抓手，统筹城市发展和固体废物管理，整体推进工业固体废物、危险废物、生活垃圾、建筑垃圾、农业固体废物等五大类固体废物污染防治，打造综合集成、高效协同、整体智治的“</w:t>
      </w:r>
      <w:r>
        <w:rPr>
          <w:rFonts w:hint="default"/>
          <w:b/>
          <w:bCs w:val="0"/>
          <w:lang w:val="en-US" w:eastAsia="zh-CN"/>
        </w:rPr>
        <w:t>无废城市</w:t>
      </w:r>
      <w:r>
        <w:rPr>
          <w:rFonts w:hint="default"/>
          <w:lang w:val="en-US" w:eastAsia="zh-CN"/>
        </w:rPr>
        <w:t>”金字招牌，形成政府主导、企业主体、市场驱动、公众参与、社会监督的共建共享格局，为深入打好污染防治攻坚战、建设美丽武义和高质量发展中争当“</w:t>
      </w:r>
      <w:r>
        <w:rPr>
          <w:rFonts w:hint="default"/>
          <w:b/>
          <w:bCs w:val="0"/>
          <w:lang w:val="en-US" w:eastAsia="zh-CN"/>
        </w:rPr>
        <w:t>两个先行</w:t>
      </w:r>
      <w:r>
        <w:rPr>
          <w:rFonts w:hint="default"/>
          <w:lang w:val="en-US" w:eastAsia="zh-CN"/>
        </w:rPr>
        <w:t>”山区县样板提供坚实支撑。</w:t>
      </w:r>
    </w:p>
    <w:p>
      <w:pPr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（二）规划原则</w:t>
      </w:r>
    </w:p>
    <w:p>
      <w:pPr>
        <w:pStyle w:val="6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坚持因地制宜、科学施策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坚持系统观念、统筹协同</w:t>
      </w:r>
    </w:p>
    <w:p>
      <w:pPr>
        <w:pStyle w:val="6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坚持放管结合，合理竞争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坚持全民参与，共建共享</w:t>
      </w:r>
    </w:p>
    <w:p>
      <w:pPr>
        <w:pStyle w:val="6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（三）主要目标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以武义县“无废城市”建设为契机，以改善环境质量为核心，有效防控工业固废环境与安全风险，建立健全</w:t>
      </w:r>
      <w:r>
        <w:rPr>
          <w:rFonts w:hint="eastAsia"/>
          <w:b/>
          <w:bCs/>
          <w:lang w:val="en-US" w:eastAsia="zh-CN"/>
        </w:rPr>
        <w:t>“源头严防、过程严管、后果严惩”</w:t>
      </w:r>
      <w:r>
        <w:rPr>
          <w:rFonts w:hint="eastAsia"/>
          <w:lang w:val="en-US" w:eastAsia="zh-CN"/>
        </w:rPr>
        <w:t>的危险废物环境监管体系，推进一般工业固体废物统一收运体系建设，不断探索</w:t>
      </w:r>
      <w:r>
        <w:rPr>
          <w:rFonts w:hint="eastAsia"/>
          <w:b/>
          <w:bCs/>
          <w:lang w:val="en-US" w:eastAsia="zh-CN"/>
        </w:rPr>
        <w:t>固废资源化利用技术创新</w:t>
      </w:r>
      <w:r>
        <w:rPr>
          <w:rFonts w:hint="eastAsia"/>
          <w:lang w:val="en-US" w:eastAsia="zh-CN"/>
        </w:rPr>
        <w:t>，提高危险废物综合利用率和风险防范能力，推动</w:t>
      </w:r>
      <w:r>
        <w:rPr>
          <w:rFonts w:hint="eastAsia"/>
          <w:b/>
          <w:bCs/>
          <w:lang w:val="en-US" w:eastAsia="zh-CN"/>
        </w:rPr>
        <w:t>资源综合利用，科技治废</w:t>
      </w:r>
      <w:r>
        <w:rPr>
          <w:rFonts w:hint="eastAsia"/>
          <w:lang w:val="en-US" w:eastAsia="zh-CN"/>
        </w:rPr>
        <w:t>。</w:t>
      </w:r>
    </w:p>
    <w:p>
      <w:pPr>
        <w:pStyle w:val="6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（四）指标体系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减量化指标、资源化指标、无害化指标、收运体系指标、监管类指标</w:t>
      </w:r>
    </w:p>
    <w:p>
      <w:pPr>
        <w:pStyle w:val="6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三、重点任务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（一）</w:t>
      </w:r>
      <w:r>
        <w:rPr>
          <w:rFonts w:hint="default"/>
          <w:b/>
          <w:bCs/>
          <w:lang w:val="en-US" w:eastAsia="zh-CN"/>
        </w:rPr>
        <w:t>聚焦源头，构建绿色生产生活方式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1、严格建设项目管理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2、加快推进企业清洁生产审核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3、加快绿色制造体系建设</w:t>
      </w:r>
    </w:p>
    <w:p>
      <w:pPr>
        <w:rPr>
          <w:rFonts w:hint="default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（二）</w:t>
      </w:r>
      <w:r>
        <w:rPr>
          <w:rFonts w:hint="default"/>
          <w:b/>
          <w:bCs/>
          <w:lang w:val="en-US" w:eastAsia="zh-CN"/>
        </w:rPr>
        <w:t>提升能力，打通资源循环利用渠道</w:t>
      </w:r>
    </w:p>
    <w:p>
      <w:pPr>
        <w:pStyle w:val="6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1、推进产业结构低碳转型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2、推进工业固废资源循环利用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3、加快建设固体废物再生回收利用体系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4、推动危险废物处置和利用方式的逐渐转变</w:t>
      </w:r>
    </w:p>
    <w:p>
      <w:pPr>
        <w:pStyle w:val="6"/>
        <w:rPr>
          <w:rFonts w:hint="default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（三）</w:t>
      </w:r>
      <w:r>
        <w:rPr>
          <w:rFonts w:hint="default"/>
          <w:b/>
          <w:bCs w:val="0"/>
          <w:lang w:val="en-US" w:eastAsia="zh-CN"/>
        </w:rPr>
        <w:t>设施升级，补齐固废管理能力短板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1、加强工业固废处置能力建设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2、促进危险废物分类贮存规范化管理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3、积极推进工业固废收运体系建设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4、深化实施工业固废固体废物分类贮存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5、强化危险废物分类收运管理</w:t>
      </w:r>
    </w:p>
    <w:p>
      <w:pPr>
        <w:pStyle w:val="6"/>
        <w:rPr>
          <w:rFonts w:hint="default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（四）</w:t>
      </w:r>
      <w:r>
        <w:rPr>
          <w:rFonts w:hint="default"/>
          <w:b/>
          <w:bCs w:val="0"/>
          <w:lang w:val="en-US" w:eastAsia="zh-CN"/>
        </w:rPr>
        <w:t>加强监督，提升固废智慧监管能力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1、健全工业固废闭环式监管体系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2、加强危废规范管理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3、大力推行固体废物监管信息化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4、积极推进全面应用“浙固码”的应用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5、强化固体废物执法监管</w:t>
      </w:r>
    </w:p>
    <w:p>
      <w:pPr>
        <w:pStyle w:val="6"/>
        <w:rPr>
          <w:rFonts w:hint="default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（五）</w:t>
      </w:r>
      <w:r>
        <w:rPr>
          <w:rFonts w:hint="default"/>
          <w:b/>
          <w:bCs w:val="0"/>
          <w:lang w:val="en-US" w:eastAsia="zh-CN"/>
        </w:rPr>
        <w:t>完善机制，推动固废制度体系建设</w:t>
      </w:r>
    </w:p>
    <w:p>
      <w:pPr>
        <w:rPr>
          <w:rFonts w:hint="eastAsia"/>
          <w:b w:val="0"/>
          <w:bCs/>
          <w:lang w:val="en-US" w:eastAsia="zh-CN"/>
        </w:rPr>
      </w:pPr>
      <w:r>
        <w:rPr>
          <w:rFonts w:hint="eastAsia"/>
          <w:b w:val="0"/>
          <w:bCs/>
          <w:lang w:val="en-US" w:eastAsia="zh-CN"/>
        </w:rPr>
        <w:t>1、梳理完善各类固废管理制度标准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2、建立完善有效的激励机制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3、推进“无废城市”建设工作</w:t>
      </w:r>
    </w:p>
    <w:p>
      <w:pPr>
        <w:pStyle w:val="6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4、建立区域和部门联防联控机制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5、强化应急处置管理能力</w:t>
      </w:r>
    </w:p>
    <w:p>
      <w:pPr>
        <w:pStyle w:val="6"/>
        <w:rPr>
          <w:rFonts w:hint="eastAsia"/>
          <w:b/>
          <w:bCs w:val="0"/>
          <w:lang w:val="en-US" w:eastAsia="zh-CN"/>
        </w:rPr>
      </w:pPr>
      <w:r>
        <w:rPr>
          <w:rFonts w:hint="eastAsia"/>
          <w:b/>
          <w:bCs w:val="0"/>
          <w:lang w:val="en-US" w:eastAsia="zh-CN"/>
        </w:rPr>
        <w:t>四、保障措施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1、</w:t>
      </w:r>
      <w:r>
        <w:rPr>
          <w:rFonts w:hint="default"/>
          <w:lang w:val="en-US" w:eastAsia="zh-CN"/>
        </w:rPr>
        <w:t>加强统筹协调</w:t>
      </w:r>
      <w:r>
        <w:rPr>
          <w:rFonts w:hint="eastAsia"/>
          <w:lang w:val="en-US" w:eastAsia="zh-CN"/>
        </w:rPr>
        <w:t>：建立部门责任清单，</w:t>
      </w:r>
      <w:r>
        <w:rPr>
          <w:rFonts w:hint="eastAsia"/>
          <w:sz w:val="28"/>
        </w:rPr>
        <w:t>形成“层次分明、权责明晰、条块结合”的基层管理网格体系。</w:t>
      </w:r>
    </w:p>
    <w:p>
      <w:pPr>
        <w:pStyle w:val="6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2、</w:t>
      </w:r>
      <w:r>
        <w:rPr>
          <w:rFonts w:hint="default"/>
          <w:lang w:val="en-US" w:eastAsia="zh-CN"/>
        </w:rPr>
        <w:t>落实责任监管</w:t>
      </w:r>
      <w:r>
        <w:rPr>
          <w:rFonts w:hint="eastAsia"/>
          <w:lang w:val="en-US" w:eastAsia="zh-CN"/>
        </w:rPr>
        <w:t>：强化目标任务分解，对规划执行情况进行中期评估和终期考核。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3、</w:t>
      </w:r>
      <w:r>
        <w:rPr>
          <w:rFonts w:hint="default"/>
          <w:lang w:val="en-US" w:eastAsia="zh-CN"/>
        </w:rPr>
        <w:t>加大投资力度</w:t>
      </w:r>
      <w:r>
        <w:rPr>
          <w:rFonts w:hint="eastAsia"/>
          <w:lang w:val="en-US" w:eastAsia="zh-CN"/>
        </w:rPr>
        <w:t>：建立政府、企业、社会多元化投入机制，积极争取国家专项资金支持。</w:t>
      </w:r>
    </w:p>
    <w:p>
      <w:pPr>
        <w:pStyle w:val="6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4、</w:t>
      </w:r>
      <w:r>
        <w:rPr>
          <w:rFonts w:hint="default"/>
          <w:lang w:val="en-US" w:eastAsia="zh-CN"/>
        </w:rPr>
        <w:t>规范项目建设</w:t>
      </w:r>
      <w:r>
        <w:rPr>
          <w:rFonts w:hint="eastAsia"/>
          <w:lang w:val="en-US" w:eastAsia="zh-CN"/>
        </w:rPr>
        <w:t>：合理进行土地规划，保证项目建设和生态环境两者关系的协调，强化土地资源市场化配置。</w:t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5、</w:t>
      </w:r>
      <w:r>
        <w:rPr>
          <w:rFonts w:hint="default"/>
          <w:lang w:val="en-US" w:eastAsia="zh-CN"/>
        </w:rPr>
        <w:t>营造社会氛围</w:t>
      </w:r>
      <w:r>
        <w:rPr>
          <w:rFonts w:hint="eastAsia"/>
          <w:lang w:val="en-US" w:eastAsia="zh-CN"/>
        </w:rPr>
        <w:t>：加强对工业固体废物污染防治工作重要性和必要性的宣传，及时公开固体废物领域典型违法犯罪案例。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ind w:left="560" w:leftChars="200" w:firstLine="0" w:firstLineChars="0"/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解读机关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金华市生态环境局武义分局水生态与大气环境科    解读人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 xml:space="preserve">邓乐  </w:t>
      </w:r>
    </w:p>
    <w:p>
      <w:pPr>
        <w:rPr>
          <w:rFonts w:hint="default"/>
          <w:lang w:val="en-US" w:eastAsia="zh-CN"/>
        </w:rPr>
      </w:pPr>
      <w:r>
        <w:rPr>
          <w:rFonts w:hint="default"/>
          <w:lang w:val="en-US" w:eastAsia="zh-CN"/>
        </w:rPr>
        <w:t>联系电话</w:t>
      </w:r>
      <w:r>
        <w:rPr>
          <w:rFonts w:hint="eastAsia"/>
          <w:lang w:val="en-US" w:eastAsia="zh-CN"/>
        </w:rPr>
        <w:t>：</w:t>
      </w:r>
      <w:r>
        <w:rPr>
          <w:rFonts w:hint="default"/>
          <w:lang w:val="en-US" w:eastAsia="zh-CN"/>
        </w:rPr>
        <w:t>18358900804</w:t>
      </w:r>
    </w:p>
    <w:sectPr>
      <w:footerReference r:id="rId5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560"/>
      </w:pPr>
      <w:r>
        <w:separator/>
      </w:r>
    </w:p>
  </w:endnote>
  <w:endnote w:type="continuationSeparator" w:id="1">
    <w:p>
      <w:pPr>
        <w:spacing w:line="240" w:lineRule="auto"/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??">
    <w:altName w:val="Times New Roman"/>
    <w:panose1 w:val="020B0604020202020204"/>
    <w:charset w:val="00"/>
    <w:family w:val="auto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_GB2312"/>
                              <w:sz w:val="21"/>
                              <w:szCs w:val="3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1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_GB2312"/>
                        <w:sz w:val="21"/>
                        <w:szCs w:val="32"/>
                        <w:lang w:eastAsia="zh-CN"/>
                      </w:rPr>
                    </w:pP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1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560"/>
      </w:pPr>
      <w:r>
        <w:separator/>
      </w:r>
    </w:p>
  </w:footnote>
  <w:footnote w:type="continuationSeparator" w:id="1">
    <w:p>
      <w:pPr>
        <w:spacing w:line="240" w:lineRule="auto"/>
        <w:ind w:firstLine="56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1D67D63"/>
    <w:multiLevelType w:val="singleLevel"/>
    <w:tmpl w:val="B1D67D63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Q0ZjFhMDIwODNjMTdjNjJiZTZmNzM1ZmE3OTYzZTUifQ=="/>
  </w:docVars>
  <w:rsids>
    <w:rsidRoot w:val="00172A27"/>
    <w:rsid w:val="09F73BE1"/>
    <w:rsid w:val="26F41A68"/>
    <w:rsid w:val="2B5E7897"/>
    <w:rsid w:val="38971CA2"/>
    <w:rsid w:val="393F6980"/>
    <w:rsid w:val="4E7C1339"/>
    <w:rsid w:val="5ABA1F8F"/>
    <w:rsid w:val="5DDC2B10"/>
    <w:rsid w:val="7691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</w:pPr>
    <w:rPr>
      <w:rFonts w:ascii="Times New Roman" w:hAnsi="Times New Roman" w:eastAsia="仿宋_GB2312" w:cs="宋体"/>
      <w:sz w:val="28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6">
    <w:name w:val="Heading1"/>
    <w:basedOn w:val="1"/>
    <w:next w:val="1"/>
    <w:qFormat/>
    <w:uiPriority w:val="0"/>
    <w:rPr>
      <w:rFonts w:cs="??"/>
      <w:bCs/>
      <w:kern w:val="36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2023-11-20T02:11:00Z</dcterms:created>
  <dc:creator>杨雨倩</dc:creator>
  <cp:lastModifiedBy>Administrator</cp:lastModifiedBy>
  <dcterms:modified xsi:type="dcterms:W3CDTF">2023-11-21T03:10:13Z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6E475B0BC6CA400682E61B512BDFC891_12</vt:lpwstr>
  </property>
</Properties>
</file>