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11906" w:h="16838"/>
          <w:pgMar w:top="1440" w:right="1800" w:bottom="1440" w:left="1800" w:header="851" w:footer="992" w:gutter="0"/>
          <w:cols w:space="425" w:num="1"/>
          <w:docGrid w:type="lines" w:linePitch="312" w:charSpace="0"/>
        </w:sectPr>
      </w:pPr>
    </w:p>
    <w:p>
      <w:pPr>
        <w:spacing w:after="75" w:line="360" w:lineRule="exact"/>
        <w:jc w:val="both"/>
        <w:rPr>
          <w:rFonts w:hint="eastAsia" w:ascii="黑体" w:hAnsi="黑体" w:eastAsia="黑体" w:cs="黑体"/>
          <w:b w:val="0"/>
          <w:bCs/>
          <w:sz w:val="32"/>
          <w:szCs w:val="44"/>
          <w:lang w:val="en-US" w:eastAsia="zh-CN"/>
        </w:rPr>
      </w:pPr>
      <w:r>
        <w:rPr>
          <w:rFonts w:hint="eastAsia" w:ascii="黑体" w:hAnsi="黑体" w:eastAsia="黑体" w:cs="黑体"/>
          <w:b w:val="0"/>
          <w:bCs/>
          <w:sz w:val="32"/>
          <w:szCs w:val="44"/>
          <w:lang w:eastAsia="zh-CN"/>
        </w:rPr>
        <w:t>附件</w:t>
      </w:r>
      <w:r>
        <w:rPr>
          <w:rFonts w:hint="eastAsia" w:ascii="黑体" w:hAnsi="黑体" w:eastAsia="黑体" w:cs="黑体"/>
          <w:b w:val="0"/>
          <w:bCs/>
          <w:sz w:val="32"/>
          <w:szCs w:val="44"/>
          <w:lang w:val="en-US" w:eastAsia="zh-CN"/>
        </w:rPr>
        <w:t>1</w:t>
      </w:r>
    </w:p>
    <w:p>
      <w:pPr>
        <w:spacing w:after="75" w:line="360" w:lineRule="exact"/>
        <w:jc w:val="center"/>
        <w:rPr>
          <w:rFonts w:hint="eastAsia" w:ascii="华文中宋" w:hAnsi="华文中宋" w:eastAsia="华文中宋"/>
          <w:b/>
          <w:sz w:val="32"/>
          <w:szCs w:val="44"/>
        </w:rPr>
      </w:pPr>
      <w:bookmarkStart w:id="0" w:name="_GoBack"/>
      <w:bookmarkEnd w:id="0"/>
      <w:r>
        <w:rPr>
          <w:rFonts w:hint="eastAsia" w:ascii="华文中宋" w:hAnsi="华文中宋" w:eastAsia="华文中宋"/>
          <w:b/>
          <w:sz w:val="32"/>
          <w:szCs w:val="44"/>
          <w:lang w:val="en-US" w:eastAsia="zh-CN"/>
        </w:rPr>
        <w:t xml:space="preserve"> </w:t>
      </w:r>
      <w:r>
        <w:rPr>
          <w:rFonts w:hint="eastAsia" w:ascii="华文中宋" w:hAnsi="华文中宋" w:eastAsia="华文中宋"/>
          <w:b/>
          <w:sz w:val="32"/>
          <w:szCs w:val="44"/>
        </w:rPr>
        <w:t>浙江省健康促进医院标准（试行</w:t>
      </w:r>
      <w:r>
        <w:rPr>
          <w:rFonts w:ascii="华文中宋" w:hAnsi="华文中宋" w:eastAsia="华文中宋"/>
          <w:b/>
          <w:sz w:val="32"/>
          <w:szCs w:val="44"/>
        </w:rPr>
        <w:t>）</w:t>
      </w:r>
    </w:p>
    <w:p>
      <w:pPr>
        <w:spacing w:line="560" w:lineRule="exact"/>
        <w:jc w:val="left"/>
        <w:rPr>
          <w:rFonts w:hint="eastAsia" w:ascii="仿宋_GB2312" w:hAnsi="宋体" w:eastAsia="仿宋_GB2312"/>
          <w:sz w:val="28"/>
        </w:rPr>
      </w:pPr>
      <w:r>
        <w:rPr>
          <w:rFonts w:hint="eastAsia" w:ascii="仿宋_GB2312" w:hAnsi="宋体" w:eastAsia="仿宋_GB2312"/>
          <w:sz w:val="28"/>
        </w:rPr>
        <w:t>考核单位：                                                                时间：   年  月  日</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1089"/>
        <w:gridCol w:w="652"/>
        <w:gridCol w:w="3654"/>
        <w:gridCol w:w="1125"/>
        <w:gridCol w:w="4306"/>
        <w:gridCol w:w="782"/>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53" w:type="pct"/>
            <w:noWrap w:val="0"/>
            <w:vAlign w:val="center"/>
          </w:tcPr>
          <w:p>
            <w:pPr>
              <w:spacing w:line="360" w:lineRule="exact"/>
              <w:jc w:val="left"/>
              <w:rPr>
                <w:rFonts w:hint="eastAsia" w:ascii="仿宋_GB2312" w:hAnsi="宋体" w:eastAsia="仿宋_GB2312"/>
                <w:b/>
                <w:sz w:val="24"/>
                <w:szCs w:val="24"/>
              </w:rPr>
            </w:pPr>
            <w:r>
              <w:rPr>
                <w:rFonts w:hint="eastAsia" w:ascii="仿宋_GB2312" w:hAnsi="宋体" w:eastAsia="仿宋_GB2312"/>
                <w:b/>
                <w:sz w:val="24"/>
                <w:szCs w:val="24"/>
              </w:rPr>
              <w:t>考核</w:t>
            </w:r>
          </w:p>
          <w:p>
            <w:pPr>
              <w:spacing w:line="360" w:lineRule="exact"/>
              <w:jc w:val="left"/>
              <w:rPr>
                <w:rFonts w:hint="eastAsia" w:ascii="仿宋_GB2312" w:hAnsi="宋体" w:eastAsia="仿宋_GB2312"/>
                <w:b/>
                <w:sz w:val="24"/>
                <w:szCs w:val="24"/>
              </w:rPr>
            </w:pPr>
            <w:r>
              <w:rPr>
                <w:rFonts w:hint="eastAsia" w:ascii="仿宋_GB2312" w:hAnsi="宋体" w:eastAsia="仿宋_GB2312"/>
                <w:b/>
                <w:sz w:val="24"/>
                <w:szCs w:val="24"/>
              </w:rPr>
              <w:t>项目</w:t>
            </w:r>
          </w:p>
        </w:tc>
        <w:tc>
          <w:tcPr>
            <w:tcW w:w="384" w:type="pct"/>
            <w:noWrap w:val="0"/>
            <w:vAlign w:val="center"/>
          </w:tcPr>
          <w:p>
            <w:pPr>
              <w:spacing w:line="360" w:lineRule="exact"/>
              <w:jc w:val="left"/>
              <w:rPr>
                <w:rFonts w:hint="eastAsia" w:ascii="仿宋_GB2312" w:hAnsi="宋体" w:eastAsia="仿宋_GB2312"/>
                <w:b/>
                <w:sz w:val="24"/>
                <w:szCs w:val="24"/>
              </w:rPr>
            </w:pPr>
            <w:r>
              <w:rPr>
                <w:rFonts w:hint="eastAsia" w:ascii="仿宋_GB2312" w:hAnsi="宋体" w:eastAsia="仿宋_GB2312"/>
                <w:b/>
                <w:sz w:val="24"/>
                <w:szCs w:val="24"/>
              </w:rPr>
              <w:t>考核指标</w:t>
            </w:r>
          </w:p>
        </w:tc>
        <w:tc>
          <w:tcPr>
            <w:tcW w:w="230" w:type="pct"/>
            <w:noWrap w:val="0"/>
            <w:vAlign w:val="center"/>
          </w:tcPr>
          <w:p>
            <w:pPr>
              <w:spacing w:line="360" w:lineRule="exact"/>
              <w:jc w:val="left"/>
              <w:rPr>
                <w:rFonts w:hint="eastAsia" w:ascii="仿宋_GB2312" w:hAnsi="宋体" w:eastAsia="仿宋_GB2312"/>
                <w:b/>
                <w:sz w:val="24"/>
                <w:szCs w:val="24"/>
              </w:rPr>
            </w:pPr>
            <w:r>
              <w:rPr>
                <w:rFonts w:hint="eastAsia" w:ascii="仿宋_GB2312" w:hAnsi="宋体" w:eastAsia="仿宋_GB2312"/>
                <w:b/>
                <w:sz w:val="24"/>
                <w:szCs w:val="24"/>
              </w:rPr>
              <w:t>分值</w:t>
            </w:r>
          </w:p>
        </w:tc>
        <w:tc>
          <w:tcPr>
            <w:tcW w:w="1289" w:type="pct"/>
            <w:noWrap w:val="0"/>
            <w:vAlign w:val="center"/>
          </w:tcPr>
          <w:p>
            <w:pPr>
              <w:spacing w:line="360" w:lineRule="exact"/>
              <w:jc w:val="left"/>
              <w:rPr>
                <w:rFonts w:hint="eastAsia" w:ascii="仿宋_GB2312" w:hAnsi="宋体" w:eastAsia="仿宋_GB2312"/>
                <w:b/>
                <w:sz w:val="24"/>
                <w:szCs w:val="24"/>
              </w:rPr>
            </w:pPr>
            <w:r>
              <w:rPr>
                <w:rFonts w:hint="eastAsia" w:ascii="仿宋_GB2312" w:hAnsi="宋体" w:eastAsia="仿宋_GB2312"/>
                <w:b/>
                <w:sz w:val="24"/>
                <w:szCs w:val="24"/>
              </w:rPr>
              <w:t>考核要点</w:t>
            </w:r>
          </w:p>
        </w:tc>
        <w:tc>
          <w:tcPr>
            <w:tcW w:w="397" w:type="pct"/>
            <w:noWrap w:val="0"/>
            <w:vAlign w:val="center"/>
          </w:tcPr>
          <w:p>
            <w:pPr>
              <w:spacing w:line="360" w:lineRule="exact"/>
              <w:jc w:val="left"/>
              <w:rPr>
                <w:rFonts w:hint="eastAsia" w:ascii="仿宋_GB2312" w:hAnsi="宋体" w:eastAsia="仿宋_GB2312"/>
                <w:b/>
                <w:sz w:val="24"/>
                <w:szCs w:val="24"/>
              </w:rPr>
            </w:pPr>
            <w:r>
              <w:rPr>
                <w:rFonts w:hint="eastAsia" w:ascii="仿宋_GB2312" w:hAnsi="宋体" w:eastAsia="仿宋_GB2312"/>
                <w:b/>
                <w:sz w:val="24"/>
                <w:szCs w:val="24"/>
              </w:rPr>
              <w:t>考核办法</w:t>
            </w:r>
          </w:p>
        </w:tc>
        <w:tc>
          <w:tcPr>
            <w:tcW w:w="1519" w:type="pct"/>
            <w:noWrap w:val="0"/>
            <w:vAlign w:val="center"/>
          </w:tcPr>
          <w:p>
            <w:pPr>
              <w:spacing w:line="360" w:lineRule="exact"/>
              <w:jc w:val="left"/>
              <w:rPr>
                <w:rFonts w:hint="eastAsia" w:ascii="仿宋_GB2312" w:hAnsi="宋体" w:eastAsia="仿宋_GB2312"/>
                <w:b/>
                <w:sz w:val="24"/>
                <w:szCs w:val="24"/>
              </w:rPr>
            </w:pPr>
            <w:r>
              <w:rPr>
                <w:rFonts w:hint="eastAsia" w:ascii="仿宋_GB2312" w:hAnsi="宋体" w:eastAsia="仿宋_GB2312"/>
                <w:b/>
                <w:sz w:val="24"/>
                <w:szCs w:val="24"/>
              </w:rPr>
              <w:t>评分标准</w:t>
            </w:r>
          </w:p>
        </w:tc>
        <w:tc>
          <w:tcPr>
            <w:tcW w:w="276" w:type="pct"/>
            <w:noWrap w:val="0"/>
            <w:vAlign w:val="center"/>
          </w:tcPr>
          <w:p>
            <w:pPr>
              <w:spacing w:line="360" w:lineRule="exact"/>
              <w:jc w:val="left"/>
              <w:rPr>
                <w:rFonts w:hint="eastAsia" w:ascii="仿宋_GB2312" w:hAnsi="宋体" w:eastAsia="仿宋_GB2312"/>
                <w:b/>
                <w:sz w:val="24"/>
                <w:szCs w:val="24"/>
              </w:rPr>
            </w:pPr>
            <w:r>
              <w:rPr>
                <w:rFonts w:hint="eastAsia" w:ascii="仿宋_GB2312" w:hAnsi="宋体" w:eastAsia="仿宋_GB2312"/>
                <w:b/>
                <w:sz w:val="24"/>
                <w:szCs w:val="24"/>
              </w:rPr>
              <w:t>实际</w:t>
            </w:r>
          </w:p>
          <w:p>
            <w:pPr>
              <w:spacing w:line="360" w:lineRule="exact"/>
              <w:jc w:val="left"/>
              <w:rPr>
                <w:rFonts w:hint="eastAsia" w:ascii="仿宋_GB2312" w:hAnsi="宋体" w:eastAsia="仿宋_GB2312"/>
                <w:b/>
                <w:sz w:val="24"/>
                <w:szCs w:val="24"/>
              </w:rPr>
            </w:pPr>
            <w:r>
              <w:rPr>
                <w:rFonts w:hint="eastAsia" w:ascii="仿宋_GB2312" w:hAnsi="宋体" w:eastAsia="仿宋_GB2312"/>
                <w:b/>
                <w:sz w:val="24"/>
                <w:szCs w:val="24"/>
              </w:rPr>
              <w:t>得分</w:t>
            </w:r>
          </w:p>
        </w:tc>
        <w:tc>
          <w:tcPr>
            <w:tcW w:w="553" w:type="pct"/>
            <w:noWrap w:val="0"/>
            <w:vAlign w:val="center"/>
          </w:tcPr>
          <w:p>
            <w:pPr>
              <w:spacing w:line="360" w:lineRule="exact"/>
              <w:jc w:val="left"/>
              <w:rPr>
                <w:rFonts w:hint="eastAsia" w:ascii="仿宋_GB2312" w:hAnsi="宋体" w:eastAsia="仿宋_GB2312"/>
                <w:b/>
                <w:sz w:val="24"/>
                <w:szCs w:val="24"/>
              </w:rPr>
            </w:pPr>
            <w:r>
              <w:rPr>
                <w:rFonts w:hint="eastAsia" w:ascii="仿宋_GB2312" w:hAnsi="宋体"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53" w:type="pct"/>
            <w:vMerge w:val="restar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一、组织建设</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（15分）</w:t>
            </w:r>
          </w:p>
        </w:tc>
        <w:tc>
          <w:tcPr>
            <w:tcW w:w="384" w:type="pct"/>
            <w:vMerge w:val="restar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1.1组织网络</w:t>
            </w:r>
          </w:p>
        </w:tc>
        <w:tc>
          <w:tcPr>
            <w:tcW w:w="230" w:type="pct"/>
            <w:vMerge w:val="restar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8</w:t>
            </w: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1.1.1建立医院健康教育领导小组，成员构成合理，分工明确，责任落实（2分）。</w:t>
            </w:r>
          </w:p>
        </w:tc>
        <w:tc>
          <w:tcPr>
            <w:tcW w:w="397" w:type="pct"/>
            <w:vMerge w:val="restar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查阅文件、花名册、会议记录、现场查看</w:t>
            </w: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1.1.1非院级领导担任组长、成员未涵盖各行政职能科所和业务科室、日常建设管理职责未有效落实各扣0.5分。</w:t>
            </w: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353" w:type="pct"/>
            <w:vMerge w:val="continue"/>
            <w:noWrap w:val="0"/>
            <w:vAlign w:val="center"/>
          </w:tcPr>
          <w:p>
            <w:pPr>
              <w:spacing w:line="360" w:lineRule="exact"/>
              <w:jc w:val="left"/>
              <w:rPr>
                <w:rFonts w:hint="eastAsia" w:ascii="仿宋_GB2312" w:hAnsi="宋体" w:eastAsia="仿宋_GB2312"/>
                <w:sz w:val="24"/>
                <w:szCs w:val="24"/>
              </w:rPr>
            </w:pPr>
          </w:p>
        </w:tc>
        <w:tc>
          <w:tcPr>
            <w:tcW w:w="384" w:type="pct"/>
            <w:vMerge w:val="continue"/>
            <w:noWrap w:val="0"/>
            <w:vAlign w:val="center"/>
          </w:tcPr>
          <w:p>
            <w:pPr>
              <w:spacing w:line="360" w:lineRule="exact"/>
              <w:jc w:val="left"/>
              <w:rPr>
                <w:rFonts w:hint="eastAsia" w:ascii="仿宋_GB2312" w:hAnsi="宋体" w:eastAsia="仿宋_GB2312"/>
                <w:sz w:val="24"/>
                <w:szCs w:val="24"/>
              </w:rPr>
            </w:pPr>
          </w:p>
        </w:tc>
        <w:tc>
          <w:tcPr>
            <w:tcW w:w="230" w:type="pct"/>
            <w:vMerge w:val="continue"/>
            <w:noWrap w:val="0"/>
            <w:vAlign w:val="center"/>
          </w:tcPr>
          <w:p>
            <w:pPr>
              <w:spacing w:line="360" w:lineRule="exact"/>
              <w:jc w:val="left"/>
              <w:rPr>
                <w:rFonts w:hint="eastAsia" w:ascii="仿宋_GB2312" w:hAnsi="宋体" w:eastAsia="仿宋_GB2312"/>
                <w:sz w:val="24"/>
                <w:szCs w:val="24"/>
              </w:rPr>
            </w:pP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1.1.2有健康教育主管科室，负责健康教育工作的日常管理和部门协调（2分）；专兼职健康教育人员不少于2人（2分）。</w:t>
            </w:r>
          </w:p>
        </w:tc>
        <w:tc>
          <w:tcPr>
            <w:tcW w:w="397" w:type="pct"/>
            <w:vMerge w:val="continue"/>
            <w:noWrap w:val="0"/>
            <w:vAlign w:val="center"/>
          </w:tcPr>
          <w:p>
            <w:pPr>
              <w:spacing w:line="360" w:lineRule="exact"/>
              <w:jc w:val="left"/>
              <w:rPr>
                <w:rFonts w:hint="eastAsia" w:ascii="仿宋_GB2312" w:hAnsi="宋体" w:eastAsia="仿宋_GB2312"/>
                <w:sz w:val="24"/>
                <w:szCs w:val="24"/>
              </w:rPr>
            </w:pP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 xml:space="preserve">1.1.2无主管科室扣1分；专兼职人数少于2人扣1分，无专职人员扣2分。职责分工不明确扣1分；  </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加分项：主管科室为独立设置加1分。</w:t>
            </w: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353" w:type="pct"/>
            <w:vMerge w:val="continue"/>
            <w:noWrap w:val="0"/>
            <w:vAlign w:val="center"/>
          </w:tcPr>
          <w:p>
            <w:pPr>
              <w:spacing w:line="360" w:lineRule="exact"/>
              <w:jc w:val="left"/>
              <w:rPr>
                <w:rFonts w:hint="eastAsia" w:ascii="仿宋_GB2312" w:hAnsi="宋体" w:eastAsia="仿宋_GB2312"/>
                <w:sz w:val="24"/>
                <w:szCs w:val="24"/>
              </w:rPr>
            </w:pPr>
          </w:p>
        </w:tc>
        <w:tc>
          <w:tcPr>
            <w:tcW w:w="384" w:type="pct"/>
            <w:vMerge w:val="continue"/>
            <w:noWrap w:val="0"/>
            <w:vAlign w:val="center"/>
          </w:tcPr>
          <w:p>
            <w:pPr>
              <w:spacing w:line="360" w:lineRule="exact"/>
              <w:jc w:val="left"/>
              <w:rPr>
                <w:rFonts w:hint="eastAsia" w:ascii="仿宋_GB2312" w:hAnsi="宋体" w:eastAsia="仿宋_GB2312"/>
                <w:sz w:val="24"/>
                <w:szCs w:val="24"/>
              </w:rPr>
            </w:pPr>
          </w:p>
        </w:tc>
        <w:tc>
          <w:tcPr>
            <w:tcW w:w="230" w:type="pct"/>
            <w:vMerge w:val="continue"/>
            <w:noWrap w:val="0"/>
            <w:vAlign w:val="center"/>
          </w:tcPr>
          <w:p>
            <w:pPr>
              <w:spacing w:line="360" w:lineRule="exact"/>
              <w:jc w:val="left"/>
              <w:rPr>
                <w:rFonts w:hint="eastAsia" w:ascii="仿宋_GB2312" w:hAnsi="宋体" w:eastAsia="仿宋_GB2312"/>
                <w:sz w:val="24"/>
                <w:szCs w:val="24"/>
              </w:rPr>
            </w:pP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1.1.3临床、医技科室均配备兼职健康教育人员（2分）。</w:t>
            </w:r>
          </w:p>
        </w:tc>
        <w:tc>
          <w:tcPr>
            <w:tcW w:w="397" w:type="pct"/>
            <w:vMerge w:val="continue"/>
            <w:noWrap w:val="0"/>
            <w:vAlign w:val="center"/>
          </w:tcPr>
          <w:p>
            <w:pPr>
              <w:spacing w:line="360" w:lineRule="exact"/>
              <w:jc w:val="left"/>
              <w:rPr>
                <w:rFonts w:hint="eastAsia" w:ascii="仿宋_GB2312" w:hAnsi="宋体" w:eastAsia="仿宋_GB2312"/>
                <w:sz w:val="24"/>
                <w:szCs w:val="24"/>
              </w:rPr>
            </w:pP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1.1.3 每少一个科室扣0.5分。</w:t>
            </w: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53" w:type="pct"/>
            <w:vMerge w:val="continue"/>
            <w:noWrap w:val="0"/>
            <w:vAlign w:val="center"/>
          </w:tcPr>
          <w:p>
            <w:pPr>
              <w:spacing w:line="360" w:lineRule="exact"/>
              <w:jc w:val="left"/>
              <w:rPr>
                <w:rFonts w:hint="eastAsia" w:ascii="仿宋_GB2312" w:hAnsi="宋体" w:eastAsia="仿宋_GB2312"/>
                <w:sz w:val="24"/>
                <w:szCs w:val="24"/>
              </w:rPr>
            </w:pPr>
          </w:p>
        </w:tc>
        <w:tc>
          <w:tcPr>
            <w:tcW w:w="384"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1.2制度建设</w:t>
            </w:r>
          </w:p>
        </w:tc>
        <w:tc>
          <w:tcPr>
            <w:tcW w:w="230"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w:t>
            </w: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1.2.1制定健康促进医院建设规划和工作计划，并纳入医院目标责任管理考核（2分）。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1.2.2 制定健康促进相关工作、考核、奖惩等制度，将健康促进融入医院管理和医疗活动（2分）。</w:t>
            </w:r>
          </w:p>
        </w:tc>
        <w:tc>
          <w:tcPr>
            <w:tcW w:w="397"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查阅文件、现场抽查</w:t>
            </w: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1.2.1未纳入医院规划和年度工作计划扣1分，不全扣0.5分；未纳入职能和医技科室目标责任管理考核内容扣1分。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1.2.2随机抽查3-5名职工相关制度知晓程度，1人1项不知道扣0.2分。</w:t>
            </w: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vMerge w:val="continue"/>
            <w:noWrap w:val="0"/>
            <w:vAlign w:val="center"/>
          </w:tcPr>
          <w:p>
            <w:pPr>
              <w:spacing w:line="360" w:lineRule="exact"/>
              <w:jc w:val="left"/>
              <w:rPr>
                <w:rFonts w:hint="eastAsia" w:ascii="仿宋_GB2312" w:hAnsi="宋体" w:eastAsia="仿宋_GB2312"/>
                <w:sz w:val="24"/>
                <w:szCs w:val="24"/>
              </w:rPr>
            </w:pPr>
          </w:p>
        </w:tc>
        <w:tc>
          <w:tcPr>
            <w:tcW w:w="384"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1.3经费保障</w:t>
            </w:r>
          </w:p>
        </w:tc>
        <w:tc>
          <w:tcPr>
            <w:tcW w:w="230"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w:t>
            </w: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1.3.1保证健康教育必备的仪器设备以及工作经费（3分）。</w:t>
            </w:r>
          </w:p>
        </w:tc>
        <w:tc>
          <w:tcPr>
            <w:tcW w:w="397"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查阅财务凭据</w:t>
            </w: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1.3.1主管科室配备的电脑、影像、投影等设备不保证工作开展扣1分；健康教育工作经费未单列、不足、使用不合理扣2分。</w:t>
            </w: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353" w:type="pct"/>
            <w:vMerge w:val="restar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二、环境</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建设</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（15分）</w:t>
            </w:r>
          </w:p>
        </w:tc>
        <w:tc>
          <w:tcPr>
            <w:tcW w:w="384"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2.1提供安全舒适工作就医环境</w:t>
            </w:r>
          </w:p>
        </w:tc>
        <w:tc>
          <w:tcPr>
            <w:tcW w:w="230"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9</w:t>
            </w: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2.1.1院内环境整洁，通道畅通，垃圾箱、废弃物容器门盖闭合，绿化占医院总面积≥30%（2分）。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2.1.2 门诊大厅设置咨询台，设置专人提供健康咨询服务；门诊区提供与就诊人数相适应的候诊座椅，为患者提供安全、私密的就诊环境（2分）。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2.1.3各楼层卫生间清洁、无蚊蝇、无异味，无烟蒂，有盥洗、洗手液（肥皂）等设施，有残疾人厕位（2分）。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2.1.4营造良好的无烟环境（1分）。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2.1.5提供医务人员一定数量的健身场所（1分）。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2.1.6医院建筑、食堂等场所设施、医疗设备等符合安全保卫、消防、食品安全、院感、污水、废弃物处理等相关标准规定（1分）。</w:t>
            </w:r>
          </w:p>
        </w:tc>
        <w:tc>
          <w:tcPr>
            <w:tcW w:w="397"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现场查看、查阅资料</w:t>
            </w: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2.1.1环境不整洁、发现卫生死角扣0.5分，通道破损、不通畅扣0.5分，垃圾门盖未闭合扣0.5分，绿化不到30%扣0.5分。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2.1.2门诊大厅无咨询台扣0.5分，未发现咨询服务人人员扣0.5分；候诊座椅不足的扣0.5分，未设置安全私密就诊环境的扣0.5分，未进行相关管理和引导的扣0.5分。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2.1.3卫生间脏乱、有蚊蝇、异味、烟蒂、附属设施不足、无残疾人厕位酌情扣分。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2.1.4发现医务人员吸烟扣1分，禁烟标示、公告、指引牌等不醒目、病人及家属抽烟无人劝阻等情况酌情扣分。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2.1.5医务人员活动场所不能满足医务人员基本健身需求酌情扣分。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2.1.6查阅有关部门审查意见和记录，发现1项不符合扣0.5分，扣完为止。</w:t>
            </w: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53" w:type="pct"/>
            <w:vMerge w:val="continue"/>
            <w:noWrap w:val="0"/>
            <w:vAlign w:val="top"/>
          </w:tcPr>
          <w:p>
            <w:pPr>
              <w:spacing w:line="360" w:lineRule="exact"/>
              <w:jc w:val="left"/>
              <w:rPr>
                <w:rFonts w:hint="eastAsia" w:ascii="仿宋_GB2312" w:hAnsi="宋体" w:eastAsia="仿宋_GB2312"/>
                <w:sz w:val="24"/>
                <w:szCs w:val="24"/>
              </w:rPr>
            </w:pPr>
          </w:p>
        </w:tc>
        <w:tc>
          <w:tcPr>
            <w:tcW w:w="384" w:type="pc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2.2有固定的健康教育阵地</w:t>
            </w:r>
          </w:p>
        </w:tc>
        <w:tc>
          <w:tcPr>
            <w:tcW w:w="230" w:type="pc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6</w:t>
            </w: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2.2.1医院有固定的宣传阵地，包括宣传橱窗、宣传板、宣传栏、宣传架、电子屏、导医屏或电化设施，音像资料不少于12种并定期更换或播放（3分）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2.2.2门诊大厅、各病房楼层应备多种供阅览的折页、处方和手册等健康教育资料（1分）。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2.2.3 医院门户网站设有健康教育专栏，信息每周更换；利用新媒体开展健康传播（2分）。</w:t>
            </w:r>
          </w:p>
        </w:tc>
        <w:tc>
          <w:tcPr>
            <w:tcW w:w="397" w:type="pc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现场查看</w:t>
            </w: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 xml:space="preserve">2.2.1室外固定宣传橱窗少于2个扣0.5分，达不到规范要求扣0.5分，未2月更新一次扣0.5分，扣完1分为止；发现1个院区楼层未设置固定宣传板（宣传栏）等，或未设置电子屏（导医屏）等电化设施扣0.5分，扣完1分为止；音像资料少于12种按比例扣分，扣完1分为止。  </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2.2.2各处至少有5种以上免费宣传品，每少一种扣0.2分。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 xml:space="preserve">2.2.3 网站没有健康教育专栏扣1.5分，信息没有每周更新1次以上扣1分；未利用微博等平台开展宣传扣0.5分。 </w:t>
            </w: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宣传橱窗要求：设置明显处，面积不少于2平方米，距地面1.5-1.6米高度。</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 xml:space="preserve">宣传品要求：包括季节性传染病、计划免疫、健康生活方式、控烟等四类。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353" w:type="pct"/>
            <w:vMerge w:val="restar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三、健康</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活动</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（38分）</w:t>
            </w:r>
          </w:p>
        </w:tc>
        <w:tc>
          <w:tcPr>
            <w:tcW w:w="384" w:type="pc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3.1院内健康教育</w:t>
            </w:r>
          </w:p>
        </w:tc>
        <w:tc>
          <w:tcPr>
            <w:tcW w:w="230" w:type="pc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26</w:t>
            </w: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3.1.1健康教育活动。采取多种形式开展疾病及相关危害因素专题宣传教育活动（4分）。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3.1.2门诊健康教育。采取多种形式开展门诊病人健康教育（2分）。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3.1.3各病区建立健康教育知识库，纳入医院临床路径等服务流程；开展住院患者入院、院中、出院健康教育，住院患者相关健康知识知晓率达到80%以上（6分）。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3.1.4开展患者健康教育需求评估和健康教育效果评价（8分）。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3.1.5患者及家属对医院健康教育满意度（4分）。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3.1.6 承担体检的医疗卫生机构要对体检单位的整体结果进行分析并提出建议（2分）。</w:t>
            </w:r>
          </w:p>
        </w:tc>
        <w:tc>
          <w:tcPr>
            <w:tcW w:w="397" w:type="pc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查阅资料、现场查看、问卷调查</w:t>
            </w: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3.1.1采取健康讲坛、咨询等形式对患者及其家属开展专题教育，数量达不到24次/年或过程性资料不全按比例扣分。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3.1.2 随机抽查一定数量门诊患者，询问当面指导、文字、图片等形式的健康教育情况，指导率不到80%以上的每下降5%扣1分。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3.1.3未建立健康教育知识库扣1分，知识库内容不全酌情扣分，未纳入服务流程扣1分；根据知识库设计调查提纲，抽查2个以上病区一定数量住院患者，患者健康知识以及血压、血糖、血脂和体重的知晓率达到80％以上得4分，不足80％每降低5%扣1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3.1.4需求评估过程性材料完整，要素齐全、内容针对性强得4分；开展1种以上单病种或群体健康教育效果评价，要素清楚、操作性强、过程资料齐全得4分，不足酌情扣分。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3.1.5按照统一调查表格，随机抽查一定数量患者及家属，满意度达80%以上得4分，不足80%每降低5%扣1分。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3.1.6 未开展整体结果分析的扣2分，未提出建议的扣1分。未承担体检的医疗机构按标化处理。</w:t>
            </w:r>
          </w:p>
        </w:tc>
        <w:tc>
          <w:tcPr>
            <w:tcW w:w="276" w:type="pct"/>
            <w:vMerge w:val="restar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 xml:space="preserve"> </w:t>
            </w:r>
          </w:p>
        </w:tc>
        <w:tc>
          <w:tcPr>
            <w:tcW w:w="553" w:type="pc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知识库：提炼疾病的核心知识，涵盖疾病危害因素、用药教育、日常护理、饮食指导、康复技能等五部分内容。</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血压、血糖、血脂的知晓率为知道正常/异常。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353" w:type="pct"/>
            <w:vMerge w:val="continue"/>
            <w:noWrap w:val="0"/>
            <w:vAlign w:val="center"/>
          </w:tcPr>
          <w:p>
            <w:pPr>
              <w:spacing w:line="360" w:lineRule="exact"/>
              <w:jc w:val="left"/>
              <w:rPr>
                <w:rFonts w:hint="eastAsia" w:ascii="仿宋_GB2312" w:hAnsi="宋体" w:eastAsia="仿宋_GB2312"/>
                <w:sz w:val="24"/>
                <w:szCs w:val="24"/>
              </w:rPr>
            </w:pPr>
          </w:p>
        </w:tc>
        <w:tc>
          <w:tcPr>
            <w:tcW w:w="384"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3.2 院外健康教育</w:t>
            </w:r>
          </w:p>
        </w:tc>
        <w:tc>
          <w:tcPr>
            <w:tcW w:w="230"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12</w:t>
            </w: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3.2.1健康传播。组建院级健康科普讲师团，开展辖区健康教育活动1次/月以上（4分）。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3.2.2服务下沉。联合合作医院、下级医院等开展健康教育指导和服务，每2月至少一次（4分）。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3.2.3媒体健康教育。加强媒体合作，联合大众传媒开展健康教育活动（2分）。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3.2.4应急健康教育。根据本地自然灾害、突发公共卫生事件开展应急健康教育工作（2分）</w:t>
            </w:r>
          </w:p>
        </w:tc>
        <w:tc>
          <w:tcPr>
            <w:tcW w:w="397"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查阅资料</w:t>
            </w: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3.2.1无院级健康科普讲师团扣1分；活动缺1次扣0.5分，要求覆盖社区和单位，内容涵盖健康生活方式、可干预危险因素、重点疾病和公共卫生问题等，不足酌情扣分。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3.2.2每少1次扣0.5分，计划、总结及过程性材料，缺1项扣0.5分，扣完为止。</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3.2.3没有开展不得分，合作计划、日程安排等过程性资料不全酌情扣分。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3.2.4制定预案1分，有事件未开展不得分，如无相关事件按标化处理。</w:t>
            </w:r>
          </w:p>
        </w:tc>
        <w:tc>
          <w:tcPr>
            <w:tcW w:w="276" w:type="pct"/>
            <w:vMerge w:val="continue"/>
            <w:tcBorders>
              <w:top w:val="nil"/>
            </w:tcBorders>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vMerge w:val="restar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四、健康技能</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（17分)</w:t>
            </w:r>
          </w:p>
        </w:tc>
        <w:tc>
          <w:tcPr>
            <w:tcW w:w="384" w:type="pc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4.1培训指导</w:t>
            </w:r>
          </w:p>
        </w:tc>
        <w:tc>
          <w:tcPr>
            <w:tcW w:w="230" w:type="pc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8</w:t>
            </w: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4.1.1将健康教育纳入医院继续教育和规范化培训内容（2分）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4.1.2相关人员健康教育基本理论与技能、行为危险因素等知识培训，年度培训覆盖率达90%以上（4分）。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4.1.3健康教育专兼职人员指导开展全院健康教育工作（2分）。</w:t>
            </w:r>
          </w:p>
        </w:tc>
        <w:tc>
          <w:tcPr>
            <w:tcW w:w="397" w:type="pct"/>
            <w:vMerge w:val="restar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查阅资料、现场查看</w:t>
            </w: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4.1.1未纳入继续教育和规范化培训各扣1分。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4.1.2专职管理人员每年至少参加1次县级以上专业机构培训，兼职管理人员每年至少1次参加院级培训，健康教育纳入新入院职工岗前培训，培训率每下降10%扣0.5分，培训过程性资料不全扣0.5分，培训内容不足扣0.5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4.1.3抽查2个科室，指导活动记录不全酌情扣分。</w:t>
            </w: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 xml:space="preserve">专职培训兼职，兼职的工作开展情况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vMerge w:val="continue"/>
            <w:noWrap w:val="0"/>
            <w:vAlign w:val="center"/>
          </w:tcPr>
          <w:p>
            <w:pPr>
              <w:spacing w:line="360" w:lineRule="exact"/>
              <w:jc w:val="left"/>
              <w:rPr>
                <w:rFonts w:hint="eastAsia" w:ascii="仿宋_GB2312" w:hAnsi="宋体" w:eastAsia="仿宋_GB2312"/>
                <w:sz w:val="24"/>
                <w:szCs w:val="24"/>
              </w:rPr>
            </w:pPr>
          </w:p>
        </w:tc>
        <w:tc>
          <w:tcPr>
            <w:tcW w:w="384"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4.2技能水平</w:t>
            </w:r>
          </w:p>
        </w:tc>
        <w:tc>
          <w:tcPr>
            <w:tcW w:w="230"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9</w:t>
            </w: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4.2.1组织全院编制各类科普文章和工作信息，开展健康教育课题研究（5分）。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4.2.2医务人员掌握健康教育基本知识（4分）。</w:t>
            </w:r>
          </w:p>
        </w:tc>
        <w:tc>
          <w:tcPr>
            <w:tcW w:w="397" w:type="pct"/>
            <w:vMerge w:val="continue"/>
            <w:noWrap w:val="0"/>
            <w:vAlign w:val="top"/>
          </w:tcPr>
          <w:p>
            <w:pPr>
              <w:spacing w:line="360" w:lineRule="exact"/>
              <w:jc w:val="left"/>
              <w:rPr>
                <w:rFonts w:hint="eastAsia" w:ascii="仿宋_GB2312" w:hAnsi="宋体" w:eastAsia="仿宋_GB2312"/>
                <w:sz w:val="24"/>
                <w:szCs w:val="24"/>
              </w:rPr>
            </w:pP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4.2.1每年在县级以上刊物、媒体发表科普文章或参与节目不足24篇次扣3分；每年向辖区健康教育专业机构报送科普和信息不足24篇扣2分。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加分项：申报课题，按国家、省、市和县级加2分、1.5分、1分和0.5分。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4.2.2随机问卷调查10名医护人员，健康教育知识抽查合格率不足80％的每降低5%扣1分，扣完为止。</w:t>
            </w: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健康教育基本知识技能包括医院网络、框架、职责、基本传播技能等。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vMerge w:val="restar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五、员工保健</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（15分）</w:t>
            </w:r>
          </w:p>
        </w:tc>
        <w:tc>
          <w:tcPr>
            <w:tcW w:w="384"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5.1健康保健</w:t>
            </w:r>
          </w:p>
        </w:tc>
        <w:tc>
          <w:tcPr>
            <w:tcW w:w="230"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6</w:t>
            </w: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5.1.1每年开展全体职工1次定期体检，按年度分析评估，掌握职工健康水平（3分）。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5.1.2根据职工主要健康问题和暴露的职业危害，增加体检项目和体检次数，并对职业暴露采取防护措施（3分）。</w:t>
            </w:r>
          </w:p>
        </w:tc>
        <w:tc>
          <w:tcPr>
            <w:tcW w:w="397" w:type="pct"/>
            <w:vMerge w:val="restart"/>
            <w:noWrap w:val="0"/>
            <w:vAlign w:val="top"/>
          </w:tcPr>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查阅记录、现场询问</w:t>
            </w: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5.1.1体检率不足90%的，每下降2%扣0.5分，扣完1分为止；无分析评估报告扣2分，内容不全酌情扣分。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5.1.2未增加体检项目或体检次数扣1分；无健康筛查、免疫接种、职业防护等措施记录扣2分，记录不全酌情扣分。</w:t>
            </w: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体检率指单位统一组织体检的参检率。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vMerge w:val="continue"/>
            <w:noWrap w:val="0"/>
            <w:vAlign w:val="center"/>
          </w:tcPr>
          <w:p>
            <w:pPr>
              <w:spacing w:line="360" w:lineRule="exact"/>
              <w:jc w:val="left"/>
              <w:rPr>
                <w:rFonts w:hint="eastAsia" w:ascii="仿宋_GB2312" w:hAnsi="宋体" w:eastAsia="仿宋_GB2312"/>
                <w:sz w:val="24"/>
                <w:szCs w:val="24"/>
              </w:rPr>
            </w:pPr>
          </w:p>
        </w:tc>
        <w:tc>
          <w:tcPr>
            <w:tcW w:w="384"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5.2 健康干预</w:t>
            </w:r>
          </w:p>
        </w:tc>
        <w:tc>
          <w:tcPr>
            <w:tcW w:w="230" w:type="pct"/>
            <w:noWrap w:val="0"/>
            <w:vAlign w:val="center"/>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9</w:t>
            </w:r>
          </w:p>
        </w:tc>
        <w:tc>
          <w:tcPr>
            <w:tcW w:w="128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5.2.1根据职工主要健康问题，找出主要危险因素，制定干预方案，实施健康干预，评估干预效果（7分）。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5.2.2组织职工开展有益于身心健康的文化娱乐、体育活动4次以上(2分)。</w:t>
            </w:r>
          </w:p>
          <w:p>
            <w:pPr>
              <w:spacing w:line="360" w:lineRule="exact"/>
              <w:jc w:val="left"/>
              <w:rPr>
                <w:rFonts w:hint="eastAsia" w:ascii="仿宋_GB2312" w:hAnsi="宋体" w:eastAsia="仿宋_GB2312"/>
                <w:sz w:val="24"/>
                <w:szCs w:val="24"/>
              </w:rPr>
            </w:pPr>
          </w:p>
        </w:tc>
        <w:tc>
          <w:tcPr>
            <w:tcW w:w="397" w:type="pct"/>
            <w:vMerge w:val="continue"/>
            <w:noWrap w:val="0"/>
            <w:vAlign w:val="top"/>
          </w:tcPr>
          <w:p>
            <w:pPr>
              <w:spacing w:line="360" w:lineRule="exact"/>
              <w:jc w:val="left"/>
              <w:rPr>
                <w:rFonts w:hint="eastAsia" w:ascii="仿宋_GB2312" w:hAnsi="宋体" w:eastAsia="仿宋_GB2312"/>
                <w:sz w:val="24"/>
                <w:szCs w:val="24"/>
              </w:rPr>
            </w:pPr>
          </w:p>
        </w:tc>
        <w:tc>
          <w:tcPr>
            <w:tcW w:w="1519" w:type="pct"/>
            <w:noWrap w:val="0"/>
            <w:vAlign w:val="top"/>
          </w:tcPr>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5.2.1无需求评估报告扣2分，优先项目不明确扣1分；无干预方案、干预措施、效果评估各扣2分；资料不完整、效果不明显的，酌情扣分。</w:t>
            </w:r>
          </w:p>
          <w:p>
            <w:pPr>
              <w:spacing w:line="360" w:lineRule="exact"/>
              <w:jc w:val="left"/>
              <w:rPr>
                <w:rFonts w:hint="eastAsia" w:ascii="仿宋_GB2312" w:hAnsi="宋体" w:eastAsia="仿宋_GB2312"/>
                <w:sz w:val="24"/>
                <w:szCs w:val="24"/>
              </w:rPr>
            </w:pPr>
            <w:r>
              <w:rPr>
                <w:rFonts w:hint="eastAsia" w:ascii="仿宋_GB2312" w:hAnsi="宋体" w:eastAsia="仿宋_GB2312"/>
                <w:sz w:val="24"/>
                <w:szCs w:val="24"/>
              </w:rPr>
              <w:t>5.2.2缺少一次扣0.5分，过程性资料不完整酌情扣分。</w:t>
            </w: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pct"/>
            <w:noWrap w:val="0"/>
            <w:vAlign w:val="center"/>
          </w:tcPr>
          <w:p>
            <w:pPr>
              <w:spacing w:line="360" w:lineRule="exact"/>
              <w:jc w:val="left"/>
              <w:rPr>
                <w:rFonts w:hint="eastAsia" w:ascii="仿宋_GB2312" w:hAnsi="宋体" w:eastAsia="仿宋_GB2312"/>
                <w:sz w:val="24"/>
                <w:szCs w:val="24"/>
              </w:rPr>
            </w:pPr>
          </w:p>
        </w:tc>
        <w:tc>
          <w:tcPr>
            <w:tcW w:w="384" w:type="pct"/>
            <w:noWrap w:val="0"/>
            <w:vAlign w:val="top"/>
          </w:tcPr>
          <w:p>
            <w:pPr>
              <w:spacing w:line="360" w:lineRule="exact"/>
              <w:jc w:val="left"/>
              <w:rPr>
                <w:rFonts w:hint="eastAsia" w:ascii="仿宋_GB2312" w:hAnsi="宋体" w:eastAsia="仿宋_GB2312"/>
                <w:sz w:val="24"/>
                <w:szCs w:val="24"/>
              </w:rPr>
            </w:pPr>
          </w:p>
        </w:tc>
        <w:tc>
          <w:tcPr>
            <w:tcW w:w="230" w:type="pct"/>
            <w:noWrap w:val="0"/>
            <w:vAlign w:val="center"/>
          </w:tcPr>
          <w:p>
            <w:pPr>
              <w:spacing w:line="360" w:lineRule="exact"/>
              <w:jc w:val="left"/>
              <w:rPr>
                <w:rFonts w:hint="eastAsia" w:ascii="仿宋_GB2312" w:hAnsi="宋体" w:eastAsia="仿宋_GB2312"/>
                <w:sz w:val="24"/>
                <w:szCs w:val="24"/>
              </w:rPr>
            </w:pPr>
          </w:p>
        </w:tc>
        <w:tc>
          <w:tcPr>
            <w:tcW w:w="1289" w:type="pct"/>
            <w:noWrap w:val="0"/>
            <w:vAlign w:val="top"/>
          </w:tcPr>
          <w:p>
            <w:pPr>
              <w:spacing w:line="360" w:lineRule="exact"/>
              <w:jc w:val="left"/>
              <w:rPr>
                <w:rFonts w:hint="eastAsia" w:ascii="仿宋_GB2312" w:hAnsi="宋体" w:eastAsia="仿宋_GB2312"/>
                <w:sz w:val="24"/>
                <w:szCs w:val="24"/>
              </w:rPr>
            </w:pPr>
          </w:p>
        </w:tc>
        <w:tc>
          <w:tcPr>
            <w:tcW w:w="397" w:type="pct"/>
            <w:noWrap w:val="0"/>
            <w:vAlign w:val="top"/>
          </w:tcPr>
          <w:p>
            <w:pPr>
              <w:spacing w:line="360" w:lineRule="exact"/>
              <w:jc w:val="left"/>
              <w:rPr>
                <w:rFonts w:hint="eastAsia" w:ascii="仿宋_GB2312" w:hAnsi="宋体" w:eastAsia="仿宋_GB2312"/>
                <w:sz w:val="24"/>
                <w:szCs w:val="24"/>
              </w:rPr>
            </w:pPr>
          </w:p>
        </w:tc>
        <w:tc>
          <w:tcPr>
            <w:tcW w:w="1519" w:type="pct"/>
            <w:noWrap w:val="0"/>
            <w:vAlign w:val="top"/>
          </w:tcPr>
          <w:p>
            <w:pPr>
              <w:spacing w:line="360" w:lineRule="exact"/>
              <w:jc w:val="left"/>
              <w:rPr>
                <w:rFonts w:hint="eastAsia" w:ascii="仿宋_GB2312" w:hAnsi="宋体" w:eastAsia="仿宋_GB2312"/>
                <w:sz w:val="24"/>
                <w:szCs w:val="24"/>
              </w:rPr>
            </w:pPr>
          </w:p>
        </w:tc>
        <w:tc>
          <w:tcPr>
            <w:tcW w:w="276" w:type="pct"/>
            <w:noWrap w:val="0"/>
            <w:vAlign w:val="top"/>
          </w:tcPr>
          <w:p>
            <w:pPr>
              <w:spacing w:line="360" w:lineRule="exact"/>
              <w:jc w:val="left"/>
              <w:rPr>
                <w:rFonts w:hint="eastAsia" w:ascii="仿宋_GB2312" w:hAnsi="宋体" w:eastAsia="仿宋_GB2312"/>
                <w:sz w:val="24"/>
                <w:szCs w:val="24"/>
              </w:rPr>
            </w:pPr>
          </w:p>
        </w:tc>
        <w:tc>
          <w:tcPr>
            <w:tcW w:w="553" w:type="pct"/>
            <w:noWrap w:val="0"/>
            <w:vAlign w:val="top"/>
          </w:tcPr>
          <w:p>
            <w:pPr>
              <w:spacing w:line="360" w:lineRule="exact"/>
              <w:jc w:val="left"/>
              <w:rPr>
                <w:rFonts w:hint="eastAsia" w:ascii="仿宋_GB2312" w:hAnsi="宋体" w:eastAsia="仿宋_GB2312"/>
                <w:sz w:val="24"/>
                <w:szCs w:val="24"/>
              </w:rPr>
            </w:pPr>
          </w:p>
        </w:tc>
      </w:tr>
    </w:tbl>
    <w:p>
      <w:pPr>
        <w:spacing w:line="360" w:lineRule="exact"/>
        <w:jc w:val="left"/>
        <w:rPr>
          <w:rFonts w:hint="eastAsia" w:ascii="仿宋_GB2312" w:hAnsi="宋体" w:eastAsia="仿宋_GB2312"/>
          <w:b/>
          <w:sz w:val="24"/>
        </w:rPr>
      </w:pPr>
      <w:r>
        <w:rPr>
          <w:rFonts w:hint="eastAsia" w:ascii="仿宋_GB2312" w:hAnsi="宋体" w:eastAsia="仿宋_GB2312"/>
          <w:b/>
          <w:sz w:val="24"/>
        </w:rPr>
        <w:t>注：1．健康促进医院必须达到《无烟医疗机构标准》，不达标的机构不予参评。</w:t>
      </w:r>
    </w:p>
    <w:p>
      <w:pPr>
        <w:spacing w:line="360" w:lineRule="exact"/>
        <w:jc w:val="left"/>
        <w:rPr>
          <w:rFonts w:hint="eastAsia" w:ascii="仿宋_GB2312" w:hAnsi="宋体" w:eastAsia="仿宋_GB2312"/>
          <w:b/>
          <w:sz w:val="24"/>
        </w:rPr>
      </w:pPr>
      <w:r>
        <w:rPr>
          <w:rFonts w:hint="eastAsia" w:ascii="仿宋_GB2312" w:hAnsi="宋体" w:eastAsia="仿宋_GB2312"/>
          <w:b/>
          <w:sz w:val="24"/>
        </w:rPr>
        <w:t>　　2．达到90分以上者为浙江省健康促进医院。</w:t>
      </w:r>
    </w:p>
    <w:p/>
    <w:p>
      <w:pPr>
        <w:widowControl/>
        <w:jc w:val="center"/>
        <w:rPr>
          <w:rFonts w:hint="eastAsia" w:ascii="宋体" w:hAnsi="宋体" w:eastAsia="宋体" w:cs="宋体"/>
          <w:b/>
          <w:color w:val="FF0000"/>
          <w:sz w:val="44"/>
          <w:szCs w:val="32"/>
        </w:rPr>
      </w:pPr>
    </w:p>
    <w:p>
      <w:pPr>
        <w:widowControl/>
        <w:jc w:val="center"/>
        <w:rPr>
          <w:rFonts w:hint="eastAsia" w:ascii="宋体" w:hAnsi="宋体" w:eastAsia="宋体" w:cs="宋体"/>
          <w:b/>
          <w:color w:val="FF0000"/>
          <w:sz w:val="44"/>
          <w:szCs w:val="32"/>
        </w:rPr>
      </w:pPr>
    </w:p>
    <w:p>
      <w:pPr>
        <w:widowControl/>
        <w:jc w:val="both"/>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附件</w:t>
      </w:r>
      <w:r>
        <w:rPr>
          <w:rFonts w:hint="eastAsia" w:ascii="黑体" w:hAnsi="黑体" w:eastAsia="黑体" w:cs="黑体"/>
          <w:b w:val="0"/>
          <w:bCs/>
          <w:color w:val="000000" w:themeColor="text1"/>
          <w:sz w:val="32"/>
          <w:szCs w:val="32"/>
          <w:lang w:val="en-US" w:eastAsia="zh-CN"/>
          <w14:textFill>
            <w14:solidFill>
              <w14:schemeClr w14:val="tx1"/>
            </w14:solidFill>
          </w14:textFill>
        </w:rPr>
        <w:t>2</w:t>
      </w:r>
    </w:p>
    <w:p>
      <w:pPr>
        <w:widowControl/>
        <w:jc w:val="center"/>
        <w:rPr>
          <w:rFonts w:hint="eastAsia" w:ascii="宋体" w:hAnsi="宋体" w:eastAsia="宋体" w:cs="宋体"/>
          <w:b/>
          <w:color w:val="FF0000"/>
          <w:sz w:val="40"/>
          <w:szCs w:val="32"/>
        </w:rPr>
      </w:pPr>
      <w:r>
        <w:rPr>
          <w:rFonts w:hint="eastAsia" w:ascii="宋体" w:hAnsi="宋体" w:eastAsia="宋体" w:cs="宋体"/>
          <w:b/>
          <w:color w:val="000000" w:themeColor="text1"/>
          <w:sz w:val="44"/>
          <w:szCs w:val="32"/>
          <w14:textFill>
            <w14:solidFill>
              <w14:schemeClr w14:val="tx1"/>
            </w14:solidFill>
          </w14:textFill>
        </w:rPr>
        <w:t>健康促进医院现场评分表（2016版）</w:t>
      </w:r>
    </w:p>
    <w:p>
      <w:pPr>
        <w:widowControl/>
        <w:spacing w:line="500" w:lineRule="exact"/>
        <w:jc w:val="left"/>
        <w:rPr>
          <w:rFonts w:hint="eastAsia" w:ascii="宋体" w:hAnsi="宋体" w:eastAsia="宋体" w:cs="宋体"/>
          <w:b/>
          <w:sz w:val="22"/>
        </w:rPr>
      </w:pPr>
      <w:r>
        <w:rPr>
          <w:rFonts w:hint="eastAsia" w:ascii="宋体" w:hAnsi="宋体" w:eastAsia="宋体" w:cs="宋体"/>
          <w:b/>
          <w:sz w:val="22"/>
        </w:rPr>
        <w:t>省份：           县区：           医院：                     评估时间： .</w:t>
      </w:r>
    </w:p>
    <w:tbl>
      <w:tblPr>
        <w:tblStyle w:val="3"/>
        <w:tblW w:w="13618" w:type="dxa"/>
        <w:jc w:val="center"/>
        <w:tblLayout w:type="fixed"/>
        <w:tblCellMar>
          <w:top w:w="0" w:type="dxa"/>
          <w:left w:w="108" w:type="dxa"/>
          <w:bottom w:w="0" w:type="dxa"/>
          <w:right w:w="108" w:type="dxa"/>
        </w:tblCellMar>
      </w:tblPr>
      <w:tblGrid>
        <w:gridCol w:w="1240"/>
        <w:gridCol w:w="1200"/>
        <w:gridCol w:w="4607"/>
        <w:gridCol w:w="3847"/>
        <w:gridCol w:w="820"/>
        <w:gridCol w:w="1120"/>
        <w:gridCol w:w="784"/>
      </w:tblGrid>
      <w:tr>
        <w:tblPrEx>
          <w:tblCellMar>
            <w:top w:w="0" w:type="dxa"/>
            <w:left w:w="108" w:type="dxa"/>
            <w:bottom w:w="0" w:type="dxa"/>
            <w:right w:w="108" w:type="dxa"/>
          </w:tblCellMar>
        </w:tblPrEx>
        <w:trPr>
          <w:trHeight w:val="288" w:hRule="atLeast"/>
          <w:tblHeader/>
          <w:jc w:val="center"/>
        </w:trPr>
        <w:tc>
          <w:tcPr>
            <w:tcW w:w="12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一级指标</w:t>
            </w:r>
          </w:p>
        </w:tc>
        <w:tc>
          <w:tcPr>
            <w:tcW w:w="1200"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二级指标</w:t>
            </w:r>
          </w:p>
        </w:tc>
        <w:tc>
          <w:tcPr>
            <w:tcW w:w="4607"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指标解释</w:t>
            </w:r>
          </w:p>
        </w:tc>
        <w:tc>
          <w:tcPr>
            <w:tcW w:w="3847"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评分标准</w:t>
            </w:r>
          </w:p>
        </w:tc>
        <w:tc>
          <w:tcPr>
            <w:tcW w:w="8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分值</w:t>
            </w:r>
          </w:p>
        </w:tc>
        <w:tc>
          <w:tcPr>
            <w:tcW w:w="1120"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考核方法</w:t>
            </w:r>
          </w:p>
        </w:tc>
        <w:tc>
          <w:tcPr>
            <w:tcW w:w="78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得分</w:t>
            </w:r>
          </w:p>
        </w:tc>
      </w:tr>
      <w:tr>
        <w:tblPrEx>
          <w:tblCellMar>
            <w:top w:w="0" w:type="dxa"/>
            <w:left w:w="108" w:type="dxa"/>
            <w:bottom w:w="0" w:type="dxa"/>
            <w:right w:w="108" w:type="dxa"/>
          </w:tblCellMar>
        </w:tblPrEx>
        <w:trPr>
          <w:trHeight w:val="876" w:hRule="atLeast"/>
          <w:jc w:val="center"/>
        </w:trPr>
        <w:tc>
          <w:tcPr>
            <w:tcW w:w="124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一、组织管理（20分）</w:t>
            </w: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协调机制</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成立医院主要负责同志牵头的健康促进医院领导小组，职责分工明确。</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成立院长或分管院长牵头的领导小组，得1分。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听取汇报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查阅档案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现场查看</w:t>
            </w: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每季度召开2次工作例会，推进健康促进医院建设。</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每召开1次工作例会得0.5分，最高1分。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制度建设</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将建设健康促进医院纳入医院目标责任考核、医院发展规划、服务宗旨。</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每纳入一个重点文件得0.5分，最高1分。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将控烟工作纳入医院目标责任考核和发展规划，有控烟巡查制度、考评奖惩制度、劝阻制度。</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每做到一项得0.25分，最高1分。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明确健康促进工作牵头负责部门，明确各个科室职责。</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有文件支持，得1分。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将针对患者及社区居民开展健康教育工作纳入医护人员绩效考核。</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有文件支持，得1分。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制定全体员工定期接受健康教育与健康促进继续教育或专题培训制度。</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有文件支持，得1分。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88"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全体员工定期体检，接受健康管理。</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有文件支持，得1分。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组织实施</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有固定的科室和人员负责全院健康促进与健康教育工作的组织管理和技术指导。</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有健康促进主管科室，得1分。有健康促进专职人员，得1分。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每个临床和医技科室有人专/兼职负责本科室的健康教育工作。设有控烟监督和巡查员。</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有各科室有健康教育人员名单，得0.5分。有控烟监督和巡查员，得0.5分。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每年制定健康促进医院工作年度计划。包括医院健康促进资源和健康问题评估、工作目标、任务分工、时间进度等。</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有年度工作计划，得1分。内容明确，措施具体，责任分工合理得1分。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定期开展员工健康促进医院建设培训，开展控烟培训。</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每开展一次专题培训得0.5分，最高2分。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每年全面总结健康促进医院工作，总结经验和问题，接受上级部门的考核评估。</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有总结报告得1分。总结报告内容具体，经验亮点突出，下一步工作思路清晰，最高1分。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保障措施</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有健康促进与健康教育必备的场所、宣传阵地和设备。</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有专门健康教育教室得1分。有宣传栏等健康教育阵地得0.5分。有专用设备得0.5分。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保证健康促进与健康教育专项工作经费。</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医院设健康教育专项经费得0.5分，如超过10万再得0.5分。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864" w:hRule="atLeast"/>
          <w:jc w:val="center"/>
        </w:trPr>
        <w:tc>
          <w:tcPr>
            <w:tcW w:w="124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二、健康环境（8分）</w:t>
            </w: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诊疗环境</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医院设咨询台，设置导医标识，方便患者就诊。候诊区提供与就诊人数相匹配的候诊座椅，为患者提供安全、私密的就诊环境。</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有咨询台得0.5分，导医标识明显清晰，得0.5分，候诊区座椅够用，得0.5分，健康检查时保护患者隐私，得0.5分。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听取汇报查阅档案现场查看</w:t>
            </w: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医院整体环境卫生，生活垃圾和医疗废物分类收集，处置及时。厕所卫生，有洗手设施。</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医疗废物与生活垃圾分类处置得1分。随机进入一个厕所，干净有洗手设施得1分。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辐射安全、医疗废弃物等标识清晰、明显。</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有明显的辐射安全标识，得0.5分。有明显的医疗废弃物标识，得0.5分。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人文环境</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医务人员对待患者和蔼和亲，使用文明礼貌用语。</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随机进入诊室，医务人员态度和蔼、使用文明用语，得1分。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考虑残疾人、老年人、孕产妇等特殊人群的需求，如绿色通道、优先窗口等。</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符合要求，得1分。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88"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根据需要提供安全的食品和饮用水。</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符合要求，得1分。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三、无烟医院（12分）</w:t>
            </w: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无烟环境</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医院室内完全禁止吸烟，所有室内场所没有烟头，没有吸烟者。</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发现烟头扣1分，发现吸烟者扣1分。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听取汇报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查阅档案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现场查看</w:t>
            </w: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864"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医院所属区域有明显的禁烟标识。所有建筑物入口处、候诊区、会议室、厕所、走廊、电梯、楼梯等公共区域有明显的禁烟标识。</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每个缺乏无烟标识的公共区域扣0.5分，扣完为止。</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88"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院内不销售烟草制品。</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如发现，扣1分。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88"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院内无烟草广告、促销和赞助。</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如发现，扣1分。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88"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无烟宣传</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有控烟宣传材料。</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有一类控烟传播材料得0.25分，最高1分。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开展以控烟为主题的宣传活动，如讲座、咨询等。</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开展一次控烟主题的宣传活动得0.5分，最高1分。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戒烟服务</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在相应科室设戒烟服务医生和咨询电话，开展戒烟服务和咨询。</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有科室提供戒烟服务，得1分。有专人提供戒烟咨询，得1分。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医生询问门诊、住院患者的吸烟史，对其中的吸烟者进行简短戒烟干预并有记录</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开展门诊患者戒烟干预，得1分。开展住院患者戒烟干预，得1分。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四、健康教育（50分）</w:t>
            </w: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患者健康促进</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各科室制定门诊和健康教育工作流程和要点。</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内外妇儿等重点科室制定门诊健康教育流程和要点，每个科室得1分，最高4分。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听取汇报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查阅档案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现场查看</w:t>
            </w: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各科室制定住院患者在住院期间和出院后的健康教育工作流程和要点。</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内外妇儿等重点科室制定住院健康教育流程和要点，每个科室得1分，最高4分。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59"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个临床科室开展健康教育服务，有针对不同病种的健康教育档案记录:1.开展患者健康评估。2.为患者提供改进健康、促进疾病康复的个性化建议。3.患者出院时，给予患者或家属合理化的出院健康指导或建议。4.患者出院后，通过与社区合作、随访等方式，持续提供健康建议。</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每个科室有针对某病种或健康问题的全套健康教育工作记录，得1分，每个科室最高3分。全院最高得15分，可区分门诊和住院科室。</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1152"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集中候诊区、治疗区（如输液室）、门诊科室、住院科室合理使用健康传播材料（如摆放健康教育资料，张贴健康海报或健康提示，播放健康视频等）。</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每类诊疗区能合理使用健康传播材料，得1分，最高4分。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设置健康教育宣传栏，县级及以上医院每月更换一次，基层医疗卫生机构每两月更换一次。</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有健康教育宣传栏得1分，定期更换得2分。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社区健康促进</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制定针对社区居民的健康教育工作流程和健康教育要点。</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有针对社区居民的健康教育工作流程，得1分。有一套常见疾病的健康教育工作要点，得2分。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864"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开展面向社区的健康讲座、健康咨询、义诊、健康烹调大赛、健康训练营、健康生活方式倡导等健康活动。</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每开展一次活动得0.5分，最高4分。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通过广播、电视、报纸、网站和新媒体对公众开展健康教育。</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每开展一次活动得0.5分，最高3分。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职工健康促进</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每年对全体员工进行体检，建立健康档案，开展健康评估。</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每年体检得1分。建立健康档案得1分。为每个员工开展健康评估得2分。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根据员工主要健康问题，开展健康管理，有具体的干预措施。</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发现员工主要健康问题，得1分。有健康管理计划，得1分。开展健康干预，得1分。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组织促进身心健康的文体活动，丰富员工生活，提高医院凝聚力。</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每开展一次集体健康活动得0.5分，最高3分。</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576" w:hRule="atLeast"/>
          <w:jc w:val="center"/>
        </w:trPr>
        <w:tc>
          <w:tcPr>
            <w:tcW w:w="124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四、建设效果（10分）</w:t>
            </w:r>
          </w:p>
        </w:tc>
        <w:tc>
          <w:tcPr>
            <w:tcW w:w="1200"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目标人群评价</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目标人群对健康促进工作支持、理解、满意</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详见目标人群测评方案。</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1120"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快速调查</w:t>
            </w: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288" w:hRule="atLeast"/>
          <w:jc w:val="center"/>
        </w:trPr>
        <w:tc>
          <w:tcPr>
            <w:tcW w:w="1240"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合计</w:t>
            </w:r>
          </w:p>
        </w:tc>
        <w:tc>
          <w:tcPr>
            <w:tcW w:w="1200"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16</w:t>
            </w:r>
          </w:p>
        </w:tc>
        <w:tc>
          <w:tcPr>
            <w:tcW w:w="460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847"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820"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1120"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84"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widowControl/>
        <w:ind w:firstLine="110" w:firstLineChars="50"/>
        <w:jc w:val="left"/>
        <w:rPr>
          <w:rFonts w:hint="eastAsia" w:ascii="宋体" w:hAnsi="宋体" w:eastAsia="宋体" w:cs="宋体"/>
          <w:color w:val="000000"/>
          <w:kern w:val="0"/>
          <w:sz w:val="22"/>
        </w:rPr>
      </w:pPr>
      <w:r>
        <w:rPr>
          <w:rFonts w:hint="eastAsia" w:ascii="宋体" w:hAnsi="宋体" w:eastAsia="宋体" w:cs="宋体"/>
          <w:color w:val="000000"/>
          <w:kern w:val="0"/>
          <w:sz w:val="22"/>
        </w:rPr>
        <w:t>说明：健康促进医院现场评估表采取百分制，现场评估达到70分及以上，认为达到健康促进医院标准。</w:t>
      </w:r>
    </w:p>
    <w:p>
      <w:pPr>
        <w:rPr>
          <w:rFonts w:hint="eastAsia" w:ascii="宋体" w:hAnsi="宋体" w:eastAsia="宋体" w:cs="宋体"/>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宋体" w:hAnsi="宋体" w:eastAsia="宋体" w:cs="宋体"/>
          <w:sz w:val="32"/>
          <w:szCs w:val="32"/>
          <w:lang w:val="en-US" w:eastAsia="zh-CN"/>
        </w:rPr>
      </w:pP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widowControl/>
        <w:spacing w:line="400" w:lineRule="atLeast"/>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 w:val="40"/>
          <w:szCs w:val="40"/>
          <w14:textFill>
            <w14:solidFill>
              <w14:schemeClr w14:val="tx1"/>
            </w14:solidFill>
          </w14:textFill>
        </w:rPr>
        <w:t>无烟卫生计生机构评分标准</w:t>
      </w:r>
    </w:p>
    <w:tbl>
      <w:tblPr>
        <w:tblStyle w:val="3"/>
        <w:tblW w:w="11078" w:type="dxa"/>
        <w:jc w:val="center"/>
        <w:tblLayout w:type="fixed"/>
        <w:tblCellMar>
          <w:top w:w="0" w:type="dxa"/>
          <w:left w:w="0" w:type="dxa"/>
          <w:bottom w:w="0" w:type="dxa"/>
          <w:right w:w="0" w:type="dxa"/>
        </w:tblCellMar>
      </w:tblPr>
      <w:tblGrid>
        <w:gridCol w:w="10339"/>
        <w:gridCol w:w="739"/>
      </w:tblGrid>
      <w:tr>
        <w:tblPrEx>
          <w:tblCellMar>
            <w:top w:w="0" w:type="dxa"/>
            <w:left w:w="0" w:type="dxa"/>
            <w:bottom w:w="0" w:type="dxa"/>
            <w:right w:w="0" w:type="dxa"/>
          </w:tblCellMar>
        </w:tblPrEx>
        <w:trPr>
          <w:tblHeader/>
          <w:jc w:val="center"/>
        </w:trPr>
        <w:tc>
          <w:tcPr>
            <w:tcW w:w="1033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b/>
                <w:bCs/>
                <w:color w:val="000000"/>
                <w:kern w:val="0"/>
                <w:sz w:val="24"/>
                <w:szCs w:val="24"/>
              </w:rPr>
              <w:t>评估标准</w:t>
            </w:r>
          </w:p>
        </w:tc>
        <w:tc>
          <w:tcPr>
            <w:tcW w:w="73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b/>
                <w:bCs/>
                <w:color w:val="000000"/>
                <w:kern w:val="0"/>
                <w:sz w:val="24"/>
                <w:szCs w:val="24"/>
              </w:rPr>
              <w:t>分值</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b/>
                <w:bCs/>
                <w:color w:val="000000"/>
                <w:kern w:val="0"/>
                <w:sz w:val="24"/>
                <w:szCs w:val="24"/>
              </w:rPr>
              <w:t>一、成立控烟领导组织，将无烟机构建设纳入本机构发展规划　10分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（一）本机构有控烟领导小组，职责明确（2分）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2</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（二）各部门有专人负责控烟工作，职责明确（2分）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2</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（三）将控烟工作纳入本机构的工作计划（包括资金保障）（3分）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3</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（四）本机构领导班子成员不吸烟（3分，有1位成员吸烟扣1分）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3</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b/>
                <w:bCs/>
                <w:color w:val="000000"/>
                <w:kern w:val="0"/>
                <w:sz w:val="24"/>
                <w:szCs w:val="24"/>
              </w:rPr>
              <w:t>二、建立健全控烟考评奖惩制度 4分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（一）本机构有控烟考评奖惩制度（1分）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1</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（二）有控烟考评奖惩标准（1分）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1</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（三）有控烟考评奖惩记录（2分）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2</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b/>
                <w:bCs/>
                <w:color w:val="000000"/>
                <w:kern w:val="0"/>
                <w:sz w:val="24"/>
                <w:szCs w:val="24"/>
              </w:rPr>
              <w:t>三、所属区域有明显的禁烟标识，室内完全禁烟 40分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（一）本机构所有建筑物的入口处有清晰明显的禁止吸烟提示（5分）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5</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（二）本机构所属管辖区域的等候厅、会议室、厕所、走廊、电梯、楼梯等区域内有明显的禁烟标识（10分，缺1处扣2分）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10</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（三）本机构室内场所完全禁止吸烟（21分，每发现1个烟头扣1分，发现吸烟者1次扣2分。每发现1个工作人员在室内吸烟扣5分，若为医务人员穿工作服吸烟，扣21分）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21</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（四）正确设置室外吸烟区（尽量远离密集人群和必经通道）（2分），有明显的引导标识（2分）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4</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b/>
                <w:bCs/>
                <w:color w:val="000000"/>
                <w:kern w:val="0"/>
                <w:sz w:val="24"/>
                <w:szCs w:val="24"/>
              </w:rPr>
              <w:t>四、设有控烟监督员和巡查员 8分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（一）机构内设有控烟监督员和巡查员（2分）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2</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（二）对控烟监督员和巡查员进行相关培训，并有培训记录（2分），有定期监督、巡查记录（4分）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6</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b/>
                <w:bCs/>
                <w:color w:val="000000"/>
                <w:kern w:val="0"/>
                <w:sz w:val="24"/>
                <w:szCs w:val="24"/>
              </w:rPr>
              <w:t>五、开展多种形式的控烟宣传和教育 8分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（一）有一定数量和种类的控烟宣传材料（4分，如院内电视、展板、宣传栏、海报、折页、标语等，至少2种，少1种扣2分）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4</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（二）有大众控烟宣传活动（4分，如讲座、咨询活动等，至少2次，少1次扣2分）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4</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b/>
                <w:bCs/>
                <w:color w:val="000000"/>
                <w:kern w:val="0"/>
                <w:sz w:val="24"/>
                <w:szCs w:val="24"/>
              </w:rPr>
              <w:t>六、明确规定全体职工负有劝阻吸烟的责任和义务 　8分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（一）有对职工进行控烟知识培训（包括劝阻技巧等），并有培训等记录（2分）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2</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（二）有劝阻工作相关制度（2分）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2</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（三）工作人员发现吸烟者及时劝阻（4分，有工作人员在场的吸烟行为未被劝阻，扣4分）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4</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b/>
                <w:bCs/>
                <w:color w:val="000000"/>
                <w:kern w:val="0"/>
                <w:sz w:val="24"/>
                <w:szCs w:val="24"/>
              </w:rPr>
              <w:t>七、鼓励和帮助吸烟职工戒烟 　5分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（一）掌握机构所有员工吸烟情况（2分）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2</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（二）对员工提供戒烟帮助（3分）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3</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b/>
                <w:bCs/>
                <w:color w:val="000000"/>
                <w:kern w:val="0"/>
                <w:sz w:val="24"/>
                <w:szCs w:val="24"/>
              </w:rPr>
              <w:t>八、所属区域内禁止销售烟草制品　 5分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医疗卫生机构内无烟草广告，商店、小卖部不出售烟草制品（5分，发现任何1种，扣5分）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5</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b/>
                <w:bCs/>
                <w:color w:val="000000"/>
                <w:kern w:val="0"/>
                <w:sz w:val="24"/>
                <w:szCs w:val="24"/>
              </w:rPr>
              <w:t>九、医务人员掌握控烟知识、方法和技巧，对吸烟者至少提供简短的劝阻和戒烟指导　 8分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（一）医护人员了解吸烟的危害和戒烟的益处（2分）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2</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（二）相关科室的医生掌握戒烟方法和技巧（2分）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2</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（三）医生询问门诊、住院病人的吸烟史，对其中的吸烟者进行简短戒烟干预并有记录（4分）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4</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b/>
                <w:bCs/>
                <w:color w:val="000000"/>
                <w:kern w:val="0"/>
                <w:sz w:val="24"/>
                <w:szCs w:val="24"/>
              </w:rPr>
              <w:t>十、医疗机构在相应科室设戒烟医生和戒烟咨询电话 4分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color w:val="000000"/>
                <w:kern w:val="0"/>
                <w:sz w:val="24"/>
                <w:szCs w:val="24"/>
              </w:rPr>
              <w:t>设有戒烟门诊或在相应科室设戒烟医生（2分），并有工作记录（2分）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color w:val="000000"/>
                <w:kern w:val="0"/>
                <w:sz w:val="24"/>
                <w:szCs w:val="24"/>
              </w:rPr>
              <w:t>4</w:t>
            </w:r>
          </w:p>
        </w:tc>
      </w:tr>
      <w:tr>
        <w:tblPrEx>
          <w:tblCellMar>
            <w:top w:w="0" w:type="dxa"/>
            <w:left w:w="0" w:type="dxa"/>
            <w:bottom w:w="0" w:type="dxa"/>
            <w:right w:w="0" w:type="dxa"/>
          </w:tblCellMar>
        </w:tblPrEx>
        <w:trPr>
          <w:jc w:val="center"/>
        </w:trPr>
        <w:tc>
          <w:tcPr>
            <w:tcW w:w="103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宋体" w:hAnsi="宋体" w:eastAsia="宋体" w:cs="宋体"/>
                <w:kern w:val="0"/>
                <w:szCs w:val="21"/>
              </w:rPr>
            </w:pPr>
            <w:r>
              <w:rPr>
                <w:rFonts w:hint="eastAsia" w:ascii="宋体" w:hAnsi="宋体" w:eastAsia="宋体" w:cs="宋体"/>
                <w:b/>
                <w:bCs/>
                <w:color w:val="000000"/>
                <w:kern w:val="0"/>
                <w:sz w:val="24"/>
                <w:szCs w:val="24"/>
              </w:rPr>
              <w:t>总分</w:t>
            </w:r>
          </w:p>
        </w:tc>
        <w:tc>
          <w:tcPr>
            <w:tcW w:w="7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b/>
                <w:bCs/>
                <w:color w:val="000000"/>
                <w:kern w:val="0"/>
                <w:sz w:val="24"/>
                <w:szCs w:val="24"/>
              </w:rPr>
              <w:t>100</w:t>
            </w:r>
          </w:p>
        </w:tc>
      </w:tr>
    </w:tbl>
    <w:p>
      <w:pPr>
        <w:widowControl/>
        <w:spacing w:line="360" w:lineRule="auto"/>
        <w:ind w:firstLine="723" w:firstLineChars="300"/>
        <w:jc w:val="left"/>
        <w:rPr>
          <w:rFonts w:hint="eastAsia" w:ascii="宋体" w:hAnsi="宋体" w:eastAsia="宋体" w:cs="宋体"/>
          <w:kern w:val="0"/>
          <w:szCs w:val="21"/>
        </w:rPr>
      </w:pPr>
      <w:r>
        <w:rPr>
          <w:rFonts w:hint="eastAsia" w:ascii="宋体" w:hAnsi="宋体" w:eastAsia="宋体" w:cs="宋体"/>
          <w:b/>
          <w:bCs/>
          <w:color w:val="000000"/>
          <w:kern w:val="0"/>
          <w:sz w:val="24"/>
          <w:szCs w:val="24"/>
        </w:rPr>
        <w:t>评分说明：</w:t>
      </w:r>
    </w:p>
    <w:p>
      <w:pPr>
        <w:widowControl/>
        <w:spacing w:line="360" w:lineRule="auto"/>
        <w:ind w:firstLine="480" w:firstLineChars="200"/>
        <w:jc w:val="left"/>
        <w:rPr>
          <w:rFonts w:hint="eastAsia" w:ascii="宋体" w:hAnsi="宋体" w:eastAsia="宋体" w:cs="宋体"/>
          <w:kern w:val="0"/>
          <w:szCs w:val="21"/>
        </w:rPr>
      </w:pPr>
      <w:r>
        <w:rPr>
          <w:rFonts w:hint="eastAsia" w:ascii="宋体" w:hAnsi="宋体" w:eastAsia="宋体" w:cs="宋体"/>
          <w:color w:val="000000"/>
          <w:kern w:val="0"/>
          <w:sz w:val="24"/>
          <w:szCs w:val="24"/>
        </w:rPr>
        <w:t>1. 无烟医疗卫生机构评分表总分为100分，达标标准为80分。</w:t>
      </w:r>
    </w:p>
    <w:p>
      <w:pPr>
        <w:widowControl/>
        <w:spacing w:line="360" w:lineRule="auto"/>
        <w:ind w:left="433" w:leftChars="206" w:firstLine="69" w:firstLineChars="29"/>
        <w:jc w:val="left"/>
        <w:rPr>
          <w:rFonts w:hint="eastAsia" w:ascii="宋体" w:hAnsi="宋体" w:eastAsia="宋体" w:cs="宋体"/>
          <w:kern w:val="0"/>
          <w:szCs w:val="21"/>
        </w:rPr>
      </w:pPr>
      <w:r>
        <w:rPr>
          <w:rFonts w:hint="eastAsia" w:ascii="宋体" w:hAnsi="宋体" w:eastAsia="宋体" w:cs="宋体"/>
          <w:color w:val="000000"/>
          <w:kern w:val="0"/>
          <w:sz w:val="24"/>
          <w:szCs w:val="24"/>
        </w:rPr>
        <w:t>2. 公共卫生机构和卫生行政部门不对第九项和第十项进行评估，总分88分，达标标准为70分。</w:t>
      </w:r>
    </w:p>
    <w:p>
      <w:pPr>
        <w:widowControl/>
        <w:ind w:firstLine="480" w:firstLineChars="200"/>
        <w:jc w:val="left"/>
      </w:pPr>
      <w:r>
        <w:rPr>
          <w:rFonts w:hint="eastAsia" w:ascii="宋体" w:hAnsi="宋体" w:eastAsia="宋体" w:cs="宋体"/>
          <w:color w:val="000000"/>
          <w:kern w:val="0"/>
          <w:sz w:val="24"/>
          <w:szCs w:val="24"/>
        </w:rPr>
        <w:t>3. 第一至八项标准中有1项为0分，即视为不达标。</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rtika">
    <w:panose1 w:val="02020503030404060203"/>
    <w:charset w:val="00"/>
    <w:family w:val="roman"/>
    <w:pitch w:val="default"/>
    <w:sig w:usb0="00800003"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90AD3"/>
    <w:rsid w:val="07D72067"/>
    <w:rsid w:val="0D5A0A92"/>
    <w:rsid w:val="1843522A"/>
    <w:rsid w:val="1D590AD3"/>
    <w:rsid w:val="247975FA"/>
    <w:rsid w:val="25D45873"/>
    <w:rsid w:val="272C7BD0"/>
    <w:rsid w:val="2A394F25"/>
    <w:rsid w:val="2AF65DDB"/>
    <w:rsid w:val="2E162A6F"/>
    <w:rsid w:val="2EFB3BC2"/>
    <w:rsid w:val="3CBE7C2F"/>
    <w:rsid w:val="3E823A54"/>
    <w:rsid w:val="3FBA568D"/>
    <w:rsid w:val="4EDD4B0D"/>
    <w:rsid w:val="4FBB1A4B"/>
    <w:rsid w:val="58B07A1D"/>
    <w:rsid w:val="6E3B2B5F"/>
    <w:rsid w:val="744B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Kartika" w:hAnsi="Kartika" w:eastAsia="宋体" w:cs="Kartik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2021-03-18T06:44:00Z</dcterms:created>
  <dc:creator>W</dc:creator>
  <cp:lastModifiedBy>apple-air</cp:lastModifiedBy>
  <dcterms:modified xsi:type="dcterms:W3CDTF">2021-06-15T03:31:36Z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B7A22266656947F6997153FE9758FD6D</vt:lpwstr>
  </property>
</Properties>
</file>